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948C4" w14:textId="66967910" w:rsidR="002D3CB4" w:rsidRDefault="00FA14FB">
      <w:pPr>
        <w:spacing w:before="240" w:after="240" w:line="240" w:lineRule="auto"/>
        <w:jc w:val="center"/>
        <w:rPr>
          <w:b/>
          <w:sz w:val="24"/>
          <w:szCs w:val="24"/>
        </w:rPr>
      </w:pPr>
      <w:r w:rsidRPr="00FA14FB">
        <w:rPr>
          <w:b/>
          <w:sz w:val="24"/>
          <w:szCs w:val="24"/>
        </w:rPr>
        <w:t>Faktor-Faktor yang mempengaruhi Cadangan devisa pada Negara BRICS</w:t>
      </w:r>
    </w:p>
    <w:p w14:paraId="549945C4" w14:textId="42C1C28E" w:rsidR="002D3CB4" w:rsidRDefault="00FA14FB">
      <w:pPr>
        <w:spacing w:after="240"/>
        <w:ind w:right="-6"/>
        <w:jc w:val="center"/>
        <w:rPr>
          <w:b/>
          <w:i/>
          <w:sz w:val="24"/>
          <w:szCs w:val="24"/>
        </w:rPr>
      </w:pPr>
      <w:r w:rsidRPr="00FA14FB">
        <w:rPr>
          <w:b/>
          <w:i/>
          <w:sz w:val="24"/>
          <w:szCs w:val="24"/>
        </w:rPr>
        <w:t>Determinants of Foreign Exchange Reserves in the BRICS Nations</w:t>
      </w:r>
    </w:p>
    <w:p w14:paraId="171663BF" w14:textId="685DDA87" w:rsidR="002D3CB4" w:rsidRDefault="00FA14FB">
      <w:pPr>
        <w:spacing w:after="240" w:line="240" w:lineRule="auto"/>
        <w:ind w:right="-6"/>
        <w:jc w:val="center"/>
        <w:rPr>
          <w:sz w:val="20"/>
          <w:szCs w:val="20"/>
        </w:rPr>
      </w:pPr>
      <w:r>
        <w:rPr>
          <w:sz w:val="20"/>
          <w:szCs w:val="20"/>
        </w:rPr>
        <w:t>Romi Suradi</w:t>
      </w:r>
      <w:r>
        <w:rPr>
          <w:sz w:val="20"/>
          <w:szCs w:val="20"/>
          <w:vertAlign w:val="superscript"/>
        </w:rPr>
        <w:t>1,*</w:t>
      </w:r>
      <w:r>
        <w:rPr>
          <w:sz w:val="20"/>
          <w:szCs w:val="20"/>
        </w:rPr>
        <w:t>, Abigail</w:t>
      </w:r>
      <w:r w:rsidR="00AD4D69">
        <w:rPr>
          <w:sz w:val="20"/>
          <w:szCs w:val="20"/>
        </w:rPr>
        <w:t xml:space="preserve"> Meriah Karina Tarigan</w:t>
      </w:r>
      <w:r>
        <w:rPr>
          <w:sz w:val="20"/>
          <w:szCs w:val="20"/>
          <w:vertAlign w:val="superscript"/>
        </w:rPr>
        <w:t>2</w:t>
      </w:r>
    </w:p>
    <w:p w14:paraId="50FD4D4F" w14:textId="31C878B4" w:rsidR="002D3CB4" w:rsidRDefault="001C1497">
      <w:pPr>
        <w:spacing w:after="0" w:line="240" w:lineRule="auto"/>
        <w:ind w:right="-6"/>
        <w:rPr>
          <w:sz w:val="18"/>
          <w:szCs w:val="18"/>
        </w:rPr>
      </w:pPr>
      <w:r>
        <w:rPr>
          <w:sz w:val="18"/>
          <w:szCs w:val="18"/>
          <w:vertAlign w:val="superscript"/>
        </w:rPr>
        <w:t>1</w:t>
      </w:r>
      <w:r w:rsidR="00AD4D69">
        <w:rPr>
          <w:sz w:val="18"/>
          <w:szCs w:val="18"/>
        </w:rPr>
        <w:t>Universitas Tanjugpura</w:t>
      </w:r>
      <w:r w:rsidR="0048624B">
        <w:rPr>
          <w:sz w:val="18"/>
          <w:szCs w:val="18"/>
        </w:rPr>
        <w:t>,</w:t>
      </w:r>
      <w:r w:rsidR="00AD4D69">
        <w:rPr>
          <w:sz w:val="18"/>
          <w:szCs w:val="18"/>
        </w:rPr>
        <w:t xml:space="preserve"> </w:t>
      </w:r>
      <w:r w:rsidR="00AD4D69" w:rsidRPr="00AD4D69">
        <w:rPr>
          <w:sz w:val="18"/>
          <w:szCs w:val="18"/>
        </w:rPr>
        <w:t>Jl. Prof. Dr. H Jl. Profesor Dokter H. Hadari Nawawi, Bansir Laut, Kec. Pontianak Tenggara, Kota Pontianak, Kalimantan Barat 78124</w:t>
      </w:r>
      <w:r w:rsidR="00AD4D69">
        <w:rPr>
          <w:sz w:val="18"/>
          <w:szCs w:val="18"/>
        </w:rPr>
        <w:t>, Indonesia</w:t>
      </w:r>
    </w:p>
    <w:p w14:paraId="208BAF03" w14:textId="211A1BCC" w:rsidR="002D3CB4" w:rsidRDefault="001C1497">
      <w:pPr>
        <w:spacing w:after="0" w:line="240" w:lineRule="auto"/>
        <w:ind w:right="-6"/>
        <w:rPr>
          <w:sz w:val="18"/>
          <w:szCs w:val="18"/>
        </w:rPr>
      </w:pPr>
      <w:r>
        <w:rPr>
          <w:sz w:val="18"/>
          <w:szCs w:val="18"/>
          <w:vertAlign w:val="superscript"/>
        </w:rPr>
        <w:t>2</w:t>
      </w:r>
      <w:r w:rsidR="00AD4D69">
        <w:rPr>
          <w:sz w:val="18"/>
          <w:szCs w:val="18"/>
        </w:rPr>
        <w:t xml:space="preserve">Universitas Tanjugpura </w:t>
      </w:r>
      <w:r w:rsidR="00AD4D69" w:rsidRPr="00AD4D69">
        <w:rPr>
          <w:sz w:val="18"/>
          <w:szCs w:val="18"/>
        </w:rPr>
        <w:t>Jl. Prof. Dr. H Jl. Profesor Dokter H. Hadari Nawawi, Bansir Laut, Kec. Pontianak Tenggara, Kota Pontianak, Kalimantan Barat 78124</w:t>
      </w:r>
      <w:r w:rsidR="00AD4D69">
        <w:rPr>
          <w:sz w:val="18"/>
          <w:szCs w:val="18"/>
        </w:rPr>
        <w:t>, Indonesia</w:t>
      </w:r>
      <w:r>
        <w:rPr>
          <w:sz w:val="18"/>
          <w:szCs w:val="18"/>
        </w:rPr>
        <w:t xml:space="preserve"> </w:t>
      </w:r>
    </w:p>
    <w:p w14:paraId="29C5BB5E" w14:textId="13A20CB1" w:rsidR="002D3CB4" w:rsidRDefault="001C1497">
      <w:pPr>
        <w:spacing w:after="240" w:line="240" w:lineRule="auto"/>
        <w:jc w:val="both"/>
      </w:pPr>
      <w:r>
        <w:rPr>
          <w:i/>
          <w:sz w:val="18"/>
          <w:szCs w:val="18"/>
          <w:vertAlign w:val="superscript"/>
        </w:rPr>
        <w:t>*)</w:t>
      </w:r>
      <w:r>
        <w:rPr>
          <w:i/>
          <w:sz w:val="18"/>
          <w:szCs w:val="18"/>
        </w:rPr>
        <w:t xml:space="preserve">E-mail korespondensi: </w:t>
      </w:r>
      <w:hyperlink r:id="rId9" w:history="1">
        <w:r w:rsidR="00AD4D69" w:rsidRPr="005E2D9A">
          <w:rPr>
            <w:rStyle w:val="Hyperlink"/>
            <w:i/>
            <w:sz w:val="18"/>
            <w:szCs w:val="18"/>
          </w:rPr>
          <w:t>romi.suradi@ekonomi.untan.ac.id</w:t>
        </w:r>
      </w:hyperlink>
    </w:p>
    <w:p w14:paraId="7BAE4E38" w14:textId="3F7C2E29" w:rsidR="002C343F" w:rsidRDefault="002C343F" w:rsidP="002C343F">
      <w:pPr>
        <w:spacing w:after="240" w:line="240" w:lineRule="auto"/>
        <w:jc w:val="center"/>
        <w:rPr>
          <w:sz w:val="18"/>
          <w:szCs w:val="18"/>
        </w:rPr>
      </w:pPr>
      <w:r>
        <w:rPr>
          <w:sz w:val="20"/>
          <w:szCs w:val="20"/>
        </w:rPr>
        <w:t xml:space="preserve">Diterima: </w:t>
      </w:r>
      <w:r>
        <w:rPr>
          <w:sz w:val="20"/>
          <w:szCs w:val="20"/>
        </w:rPr>
        <w:t>29 September 2025</w:t>
      </w:r>
      <w:r>
        <w:rPr>
          <w:sz w:val="20"/>
          <w:szCs w:val="20"/>
        </w:rPr>
        <w:t xml:space="preserve"> | Direvisi: </w:t>
      </w:r>
      <w:r>
        <w:rPr>
          <w:sz w:val="20"/>
          <w:szCs w:val="20"/>
        </w:rPr>
        <w:t>28 Oktober 2025</w:t>
      </w:r>
      <w:r>
        <w:rPr>
          <w:sz w:val="20"/>
          <w:szCs w:val="20"/>
        </w:rPr>
        <w:t xml:space="preserve"> | Disetuj</w:t>
      </w:r>
      <w:r>
        <w:rPr>
          <w:sz w:val="20"/>
          <w:szCs w:val="20"/>
        </w:rPr>
        <w:t>ui: 06 November 2025</w:t>
      </w:r>
      <w:r>
        <w:rPr>
          <w:sz w:val="20"/>
          <w:szCs w:val="20"/>
        </w:rPr>
        <w:t xml:space="preserve"> | Publikasi online:</w:t>
      </w:r>
      <w:r>
        <w:rPr>
          <w:sz w:val="20"/>
          <w:szCs w:val="20"/>
        </w:rPr>
        <w:t xml:space="preserve"> 04 Desember 2026</w:t>
      </w:r>
    </w:p>
    <w:p w14:paraId="3ADC3A19" w14:textId="77777777" w:rsidR="002D3CB4" w:rsidRDefault="001C1497">
      <w:pPr>
        <w:spacing w:after="0"/>
        <w:ind w:right="-6"/>
        <w:rPr>
          <w:sz w:val="18"/>
          <w:szCs w:val="18"/>
        </w:rPr>
      </w:pPr>
      <w:r>
        <w:rPr>
          <w:noProof/>
        </w:rPr>
        <mc:AlternateContent>
          <mc:Choice Requires="wps">
            <w:drawing>
              <wp:anchor distT="4294967295" distB="4294967295" distL="114300" distR="114300" simplePos="0" relativeHeight="251659264" behindDoc="0" locked="0" layoutInCell="1" hidden="0" allowOverlap="1" wp14:anchorId="5EC043E6" wp14:editId="10F9B92E">
                <wp:simplePos x="0" y="0"/>
                <wp:positionH relativeFrom="column">
                  <wp:posOffset>-76199</wp:posOffset>
                </wp:positionH>
                <wp:positionV relativeFrom="paragraph">
                  <wp:posOffset>55896</wp:posOffset>
                </wp:positionV>
                <wp:extent cx="0" cy="25400"/>
                <wp:effectExtent l="0" t="0" r="0" b="0"/>
                <wp:wrapNone/>
                <wp:docPr id="240" name="Konektor Panah Lurus 240"/>
                <wp:cNvGraphicFramePr/>
                <a:graphic xmlns:a="http://schemas.openxmlformats.org/drawingml/2006/main">
                  <a:graphicData uri="http://schemas.microsoft.com/office/word/2010/wordprocessingShape">
                    <wps:wsp>
                      <wps:cNvCnPr/>
                      <wps:spPr>
                        <a:xfrm>
                          <a:off x="2383725" y="3780000"/>
                          <a:ext cx="5924550" cy="0"/>
                        </a:xfrm>
                        <a:prstGeom prst="straightConnector1">
                          <a:avLst/>
                        </a:prstGeom>
                        <a:noFill/>
                        <a:ln w="25400" cap="flat" cmpd="sng">
                          <a:solidFill>
                            <a:srgbClr val="EAF1DD"/>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5" distT="4294967295" distL="114300" distR="114300" hidden="0" layoutInCell="1" locked="0" relativeHeight="0" simplePos="0">
                <wp:simplePos x="0" y="0"/>
                <wp:positionH relativeFrom="column">
                  <wp:posOffset>-76199</wp:posOffset>
                </wp:positionH>
                <wp:positionV relativeFrom="paragraph">
                  <wp:posOffset>55896</wp:posOffset>
                </wp:positionV>
                <wp:extent cx="0" cy="25400"/>
                <wp:effectExtent b="0" l="0" r="0" t="0"/>
                <wp:wrapNone/>
                <wp:docPr id="240"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0" cy="25400"/>
                        </a:xfrm>
                        <a:prstGeom prst="rect"/>
                        <a:ln/>
                      </pic:spPr>
                    </pic:pic>
                  </a:graphicData>
                </a:graphic>
              </wp:anchor>
            </w:drawing>
          </mc:Fallback>
        </mc:AlternateContent>
      </w:r>
    </w:p>
    <w:tbl>
      <w:tblPr>
        <w:tblStyle w:val="a"/>
        <w:tblW w:w="9072" w:type="dxa"/>
        <w:tblLayout w:type="fixed"/>
        <w:tblLook w:val="0400" w:firstRow="0" w:lastRow="0" w:firstColumn="0" w:lastColumn="0" w:noHBand="0" w:noVBand="1"/>
      </w:tblPr>
      <w:tblGrid>
        <w:gridCol w:w="9072"/>
      </w:tblGrid>
      <w:tr w:rsidR="002D3CB4" w14:paraId="652EFB1C" w14:textId="77777777">
        <w:tc>
          <w:tcPr>
            <w:tcW w:w="9072" w:type="dxa"/>
            <w:shd w:val="clear" w:color="auto" w:fill="EBF1DD"/>
          </w:tcPr>
          <w:p w14:paraId="2DADA84D" w14:textId="77777777" w:rsidR="002D3CB4" w:rsidRDefault="001C1497">
            <w:pPr>
              <w:spacing w:before="240" w:line="240" w:lineRule="auto"/>
              <w:jc w:val="center"/>
              <w:rPr>
                <w:b/>
                <w:i/>
                <w:sz w:val="20"/>
                <w:szCs w:val="20"/>
              </w:rPr>
            </w:pPr>
            <w:r>
              <w:rPr>
                <w:b/>
                <w:i/>
                <w:sz w:val="20"/>
                <w:szCs w:val="20"/>
              </w:rPr>
              <w:t>ABSTRACT</w:t>
            </w:r>
          </w:p>
          <w:p w14:paraId="7820CF0F" w14:textId="6769BC0A" w:rsidR="00FA14FB" w:rsidRDefault="00FA14FB" w:rsidP="00AD4D69">
            <w:pPr>
              <w:jc w:val="both"/>
              <w:rPr>
                <w:i/>
                <w:color w:val="202124"/>
                <w:sz w:val="20"/>
                <w:szCs w:val="20"/>
              </w:rPr>
            </w:pPr>
            <w:r w:rsidRPr="00FA14FB">
              <w:rPr>
                <w:i/>
                <w:color w:val="202124"/>
                <w:sz w:val="20"/>
                <w:szCs w:val="20"/>
              </w:rPr>
              <w:t>This research aims to investigate the extent to which remittances, exports, and foreign direct investment influence the foreign exchange reserves in BRICS countries. This study is quantitative in nature, employing a causality approach. The research objects are the BRICS countries, consisting of Brazil, Russia, India, China, and South Africa. The type of data used is secondary data obtained from the World Bank and analyzed using panel data processing techniques. This study uses panel data analysis methods with the help of the EViews program for the period from 2009 to 2023.</w:t>
            </w:r>
          </w:p>
          <w:p w14:paraId="78D381FF" w14:textId="6AA4E6EC" w:rsidR="002D3CB4" w:rsidRDefault="001C1497">
            <w:pPr>
              <w:spacing w:line="240" w:lineRule="auto"/>
              <w:ind w:right="-6"/>
              <w:jc w:val="both"/>
              <w:rPr>
                <w:i/>
                <w:color w:val="000000"/>
                <w:sz w:val="20"/>
                <w:szCs w:val="20"/>
              </w:rPr>
            </w:pPr>
            <w:r>
              <w:rPr>
                <w:b/>
                <w:i/>
                <w:sz w:val="20"/>
                <w:szCs w:val="20"/>
              </w:rPr>
              <w:t xml:space="preserve">Kata kunci: </w:t>
            </w:r>
            <w:r w:rsidR="00FA14FB">
              <w:rPr>
                <w:bCs/>
                <w:i/>
                <w:sz w:val="20"/>
                <w:szCs w:val="20"/>
              </w:rPr>
              <w:t>Exports, Foreign Exchange Reserves, FDI, Remittances</w:t>
            </w:r>
          </w:p>
        </w:tc>
      </w:tr>
      <w:tr w:rsidR="002D3CB4" w14:paraId="63183BA2" w14:textId="77777777">
        <w:tc>
          <w:tcPr>
            <w:tcW w:w="9072" w:type="dxa"/>
          </w:tcPr>
          <w:p w14:paraId="56645B87" w14:textId="77777777" w:rsidR="002D3CB4" w:rsidRDefault="002D3CB4">
            <w:pPr>
              <w:spacing w:after="0"/>
              <w:rPr>
                <w:sz w:val="16"/>
                <w:szCs w:val="16"/>
              </w:rPr>
            </w:pPr>
          </w:p>
        </w:tc>
      </w:tr>
      <w:tr w:rsidR="002D3CB4" w14:paraId="414BFE93" w14:textId="77777777">
        <w:tc>
          <w:tcPr>
            <w:tcW w:w="9072" w:type="dxa"/>
            <w:shd w:val="clear" w:color="auto" w:fill="EBF1DD"/>
          </w:tcPr>
          <w:p w14:paraId="33B49DC7" w14:textId="77777777" w:rsidR="002D3CB4" w:rsidRDefault="001C1497">
            <w:pPr>
              <w:widowControl w:val="0"/>
              <w:pBdr>
                <w:top w:val="nil"/>
                <w:left w:val="nil"/>
                <w:bottom w:val="nil"/>
                <w:right w:val="nil"/>
                <w:between w:val="nil"/>
              </w:pBdr>
              <w:spacing w:before="120" w:after="120" w:line="240" w:lineRule="auto"/>
              <w:ind w:right="45"/>
              <w:jc w:val="center"/>
              <w:rPr>
                <w:color w:val="000000"/>
                <w:sz w:val="24"/>
                <w:szCs w:val="24"/>
              </w:rPr>
            </w:pPr>
            <w:r>
              <w:rPr>
                <w:b/>
                <w:color w:val="000000"/>
              </w:rPr>
              <w:t>ABSTRAK</w:t>
            </w:r>
          </w:p>
          <w:p w14:paraId="3315B2A9" w14:textId="77777777" w:rsidR="002D3CB4" w:rsidRDefault="002D3CB4">
            <w:pPr>
              <w:spacing w:line="14" w:lineRule="auto"/>
              <w:rPr>
                <w:sz w:val="20"/>
                <w:szCs w:val="20"/>
              </w:rPr>
            </w:pPr>
          </w:p>
          <w:p w14:paraId="6273CF4A" w14:textId="7471AB26" w:rsidR="002D3CB4" w:rsidRDefault="00FA1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i/>
                <w:color w:val="202124"/>
                <w:sz w:val="20"/>
                <w:szCs w:val="20"/>
              </w:rPr>
            </w:pPr>
            <w:r w:rsidRPr="00FA14FB">
              <w:rPr>
                <w:i/>
                <w:color w:val="202124"/>
                <w:sz w:val="20"/>
                <w:szCs w:val="20"/>
              </w:rPr>
              <w:t>Penelitian ini bertujuan untuk meneliti lebih dalam mengenai sejauh mana remitansi, ekspor, dan investasi asing langsung memengaruhi cadangan devisa di negara-negara BRICS.Bentuk dari penelitian ini yaitu penelitian kuantitatif dengan menggunakan pendekatan kausalitas. Adapun objek penelitian ini adalah negara-negara BRICS yang terdiri dari Brasil, Rusia, India, Tiongkok, dan Afrika Selatan. Jenis data yang digunakan adalahdata sekunder yang diperoleh dariWorld Bankdan dianalisis menggunakan teknik pengolahan data panel. Penelitian ini menggunakan metode analisis data paneldengan bantuan program Eviews pada periode 2009 hingga 2023</w:t>
            </w:r>
          </w:p>
          <w:p w14:paraId="0FE4382E" w14:textId="78D6FC95" w:rsidR="002D3CB4" w:rsidRDefault="001C1497">
            <w:pPr>
              <w:spacing w:line="240" w:lineRule="auto"/>
              <w:ind w:right="-6"/>
              <w:jc w:val="both"/>
              <w:rPr>
                <w:sz w:val="20"/>
                <w:szCs w:val="20"/>
              </w:rPr>
            </w:pPr>
            <w:r>
              <w:rPr>
                <w:b/>
                <w:sz w:val="20"/>
                <w:szCs w:val="20"/>
              </w:rPr>
              <w:t xml:space="preserve"> Kata kunci: </w:t>
            </w:r>
            <w:r w:rsidR="00AD4D69" w:rsidRPr="00FA14FB">
              <w:rPr>
                <w:i/>
                <w:sz w:val="20"/>
                <w:szCs w:val="20"/>
              </w:rPr>
              <w:t>Ekspor</w:t>
            </w:r>
            <w:r w:rsidR="00AD4D69">
              <w:rPr>
                <w:i/>
                <w:sz w:val="20"/>
                <w:szCs w:val="20"/>
              </w:rPr>
              <w:t>,</w:t>
            </w:r>
            <w:r w:rsidR="00AD4D69" w:rsidRPr="00FA14FB">
              <w:rPr>
                <w:i/>
                <w:sz w:val="20"/>
                <w:szCs w:val="20"/>
              </w:rPr>
              <w:t xml:space="preserve"> </w:t>
            </w:r>
            <w:r w:rsidR="00FA14FB" w:rsidRPr="00FA14FB">
              <w:rPr>
                <w:i/>
                <w:sz w:val="20"/>
                <w:szCs w:val="20"/>
              </w:rPr>
              <w:t xml:space="preserve">Cadangan Devisa, </w:t>
            </w:r>
            <w:r w:rsidR="00AD4D69" w:rsidRPr="00FA14FB">
              <w:rPr>
                <w:i/>
                <w:sz w:val="20"/>
                <w:szCs w:val="20"/>
              </w:rPr>
              <w:t>Investasi Asing Langsung</w:t>
            </w:r>
            <w:r w:rsidR="00AD4D69">
              <w:rPr>
                <w:i/>
                <w:sz w:val="20"/>
                <w:szCs w:val="20"/>
              </w:rPr>
              <w:t>,</w:t>
            </w:r>
            <w:r w:rsidR="00AD4D69" w:rsidRPr="00FA14FB">
              <w:rPr>
                <w:i/>
                <w:sz w:val="20"/>
                <w:szCs w:val="20"/>
              </w:rPr>
              <w:t xml:space="preserve"> </w:t>
            </w:r>
            <w:r w:rsidR="00FA14FB" w:rsidRPr="00FA14FB">
              <w:rPr>
                <w:i/>
                <w:sz w:val="20"/>
                <w:szCs w:val="20"/>
              </w:rPr>
              <w:t>Remitansi</w:t>
            </w:r>
          </w:p>
        </w:tc>
      </w:tr>
    </w:tbl>
    <w:p w14:paraId="1B721A48" w14:textId="77777777" w:rsidR="002D3CB4" w:rsidRDefault="001C1497">
      <w:pPr>
        <w:rPr>
          <w:sz w:val="16"/>
          <w:szCs w:val="16"/>
        </w:rPr>
      </w:pPr>
      <w:r>
        <w:rPr>
          <w:noProof/>
        </w:rPr>
        <mc:AlternateContent>
          <mc:Choice Requires="wps">
            <w:drawing>
              <wp:anchor distT="0" distB="0" distL="114300" distR="114300" simplePos="0" relativeHeight="251660288" behindDoc="0" locked="0" layoutInCell="1" hidden="0" allowOverlap="1" wp14:anchorId="5741DF65" wp14:editId="1523FCB0">
                <wp:simplePos x="0" y="0"/>
                <wp:positionH relativeFrom="column">
                  <wp:posOffset>-76199</wp:posOffset>
                </wp:positionH>
                <wp:positionV relativeFrom="paragraph">
                  <wp:posOffset>139700</wp:posOffset>
                </wp:positionV>
                <wp:extent cx="0" cy="25400"/>
                <wp:effectExtent l="0" t="0" r="0" b="0"/>
                <wp:wrapSquare wrapText="bothSides" distT="0" distB="0" distL="114300" distR="114300"/>
                <wp:docPr id="238" name="Konektor Panah Lurus 238"/>
                <wp:cNvGraphicFramePr/>
                <a:graphic xmlns:a="http://schemas.openxmlformats.org/drawingml/2006/main">
                  <a:graphicData uri="http://schemas.microsoft.com/office/word/2010/wordprocessingShape">
                    <wps:wsp>
                      <wps:cNvCnPr/>
                      <wps:spPr>
                        <a:xfrm>
                          <a:off x="2381820" y="3780000"/>
                          <a:ext cx="5928360" cy="0"/>
                        </a:xfrm>
                        <a:prstGeom prst="straightConnector1">
                          <a:avLst/>
                        </a:prstGeom>
                        <a:noFill/>
                        <a:ln w="25400" cap="flat" cmpd="sng">
                          <a:solidFill>
                            <a:srgbClr val="EAF1DD"/>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-76199</wp:posOffset>
                </wp:positionH>
                <wp:positionV relativeFrom="paragraph">
                  <wp:posOffset>139700</wp:posOffset>
                </wp:positionV>
                <wp:extent cx="0" cy="25400"/>
                <wp:effectExtent b="0" l="0" r="0" t="0"/>
                <wp:wrapSquare wrapText="bothSides" distB="0" distT="0" distL="114300" distR="114300"/>
                <wp:docPr id="238"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0" cy="25400"/>
                        </a:xfrm>
                        <a:prstGeom prst="rect"/>
                        <a:ln/>
                      </pic:spPr>
                    </pic:pic>
                  </a:graphicData>
                </a:graphic>
              </wp:anchor>
            </w:drawing>
          </mc:Fallback>
        </mc:AlternateContent>
      </w:r>
    </w:p>
    <w:p w14:paraId="0366FD93" w14:textId="77777777" w:rsidR="002D3CB4" w:rsidRDefault="001C1497">
      <w:pPr>
        <w:rPr>
          <w:sz w:val="16"/>
          <w:szCs w:val="16"/>
        </w:rPr>
      </w:pPr>
      <w:r>
        <w:rPr>
          <w:sz w:val="16"/>
          <w:szCs w:val="16"/>
        </w:rPr>
        <w:tab/>
      </w:r>
    </w:p>
    <w:p w14:paraId="211A9379" w14:textId="77777777" w:rsidR="002D3CB4" w:rsidRDefault="002D3CB4">
      <w:pPr>
        <w:rPr>
          <w:sz w:val="16"/>
          <w:szCs w:val="16"/>
        </w:rPr>
      </w:pPr>
    </w:p>
    <w:p w14:paraId="7EC7451A" w14:textId="77777777" w:rsidR="00FA14FB" w:rsidRDefault="00FA14FB">
      <w:pPr>
        <w:rPr>
          <w:sz w:val="16"/>
          <w:szCs w:val="16"/>
        </w:rPr>
      </w:pPr>
      <w:r>
        <w:rPr>
          <w:sz w:val="16"/>
          <w:szCs w:val="16"/>
        </w:rPr>
        <w:br w:type="page"/>
      </w:r>
    </w:p>
    <w:p w14:paraId="525EBF7A" w14:textId="36D75AE8" w:rsidR="002D3CB4" w:rsidRDefault="001C1497">
      <w:pPr>
        <w:spacing w:before="200" w:after="0"/>
        <w:rPr>
          <w:b/>
          <w:sz w:val="18"/>
          <w:szCs w:val="18"/>
        </w:rPr>
      </w:pPr>
      <w:r>
        <w:rPr>
          <w:b/>
        </w:rPr>
        <w:lastRenderedPageBreak/>
        <w:t>PENDAHULUAN</w:t>
      </w:r>
    </w:p>
    <w:p w14:paraId="33B96911" w14:textId="60FF2B93" w:rsidR="00AD4D69" w:rsidRDefault="00AD4D69" w:rsidP="00AD4D69">
      <w:pPr>
        <w:spacing w:before="60" w:after="240" w:line="240" w:lineRule="auto"/>
        <w:jc w:val="both"/>
        <w:rPr>
          <w:lang w:val="en-US"/>
        </w:rPr>
      </w:pPr>
      <w:r w:rsidRPr="00AD4D69">
        <w:rPr>
          <w:lang w:val="en-US"/>
        </w:rPr>
        <w:t xml:space="preserve">Cadangan devisa merupakan simpanan aset suatu negara. Cadangan devisa merupakan aset pemerintah yang terdiri dari mata uang asing, emas, dan surat berharga yang disimpan oleh Bank Sentral, yang digunakan sebagai sarana pembayaran dalam transaksi internasional (Munanda &amp; Amar dalam </w:t>
      </w:r>
      <w:sdt>
        <w:sdtPr>
          <w:rPr>
            <w:lang w:val="en-US"/>
          </w:rPr>
          <w:tag w:val="MENDELEY_CITATION_v3_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"/>
          <w:id w:val="1929776160"/>
          <w:placeholder>
            <w:docPart w:val="ABD2FE08ED4B50489C7F5746525E0B93"/>
          </w:placeholder>
        </w:sdtPr>
        <w:sdtEndPr/>
        <w:sdtContent>
          <w:r w:rsidRPr="00AD4D69">
            <w:rPr>
              <w:lang w:val="en-US"/>
            </w:rPr>
            <w:t>Murni et al., 2021)</w:t>
          </w:r>
        </w:sdtContent>
      </w:sdt>
      <w:r w:rsidRPr="00AD4D69">
        <w:rPr>
          <w:lang w:val="en-US"/>
        </w:rPr>
        <w:t xml:space="preserve">. Ukuran cadangan devisa dapat digunakan sebagai indikator untuk mengevaluasi ketahanan suatu negara terhadap krisis ekonomi </w:t>
      </w:r>
      <w:sdt>
        <w:sdtPr>
          <w:rPr>
            <w:lang w:val="en-US"/>
          </w:rPr>
          <w:tag w:val="MENDELEY_CITATION_v3_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"/>
          <w:id w:val="432021820"/>
          <w:placeholder>
            <w:docPart w:val="39AF85F713173040957709AB470377DB"/>
          </w:placeholder>
        </w:sdtPr>
        <w:sdtEndPr>
          <w:rPr>
            <w:bCs/>
          </w:rPr>
        </w:sdtEndPr>
        <w:sdtContent>
          <w:r w:rsidRPr="00AD4D69">
            <w:rPr>
              <w:lang w:val="en-US"/>
            </w:rPr>
            <w:t>(Dessy Dianita S &amp; Idah Zuhroh, 2018)</w:t>
          </w:r>
        </w:sdtContent>
      </w:sdt>
      <w:r w:rsidRPr="00AD4D69">
        <w:rPr>
          <w:lang w:val="en-US"/>
        </w:rPr>
        <w:t xml:space="preserve">. Semakin besar cadangan devisa yang dimiliki, semakin kuat negara tersebut dalam menghadapi krisis </w:t>
      </w:r>
      <w:sdt>
        <w:sdtPr>
          <w:rPr>
            <w:lang w:val="en-US"/>
          </w:rPr>
          <w:tag w:val="MENDELEY_CITATION_v3_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"/>
          <w:id w:val="912823010"/>
          <w:placeholder>
            <w:docPart w:val="39AF85F713173040957709AB470377DB"/>
          </w:placeholder>
        </w:sdtPr>
        <w:sdtEndPr/>
        <w:sdtContent>
          <w:r w:rsidRPr="00AD4D69">
            <w:rPr>
              <w:lang w:val="en-US"/>
            </w:rPr>
            <w:t>(Dessy Dianita S &amp; Idah Zuhroh, 2018)</w:t>
          </w:r>
        </w:sdtContent>
      </w:sdt>
      <w:r w:rsidRPr="00AD4D69">
        <w:rPr>
          <w:lang w:val="en-US"/>
        </w:rPr>
        <w:t>.</w:t>
      </w:r>
      <w:r w:rsidR="0048624B">
        <w:rPr>
          <w:lang w:val="en-US"/>
        </w:rPr>
        <w:t xml:space="preserve"> </w:t>
      </w:r>
      <w:r w:rsidRPr="00AD4D69">
        <w:rPr>
          <w:lang w:val="en-US"/>
        </w:rPr>
        <w:t xml:space="preserve">Cadangan devisa dapat berfungsi sebagai indikator penting untuk menilai sejauh mana kemampuan suatu negara dalam menjalankan perdagangan internasional serta untuk mengevaluasi kekuatan atau kelemahan perekonomian negara tersebut </w:t>
      </w:r>
      <w:sdt>
        <w:sdtPr>
          <w:rPr>
            <w:lang w:val="en-US"/>
          </w:rPr>
          <w:tag w:val="MENDELEY_CITATION_v3_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"/>
          <w:id w:val="1669140415"/>
          <w:placeholder>
            <w:docPart w:val="A6B5014D728DE043BD9E1898DF788370"/>
          </w:placeholder>
        </w:sdtPr>
        <w:sdtEndPr/>
        <w:sdtContent>
          <w:r w:rsidRPr="00AD4D69">
            <w:rPr>
              <w:bCs/>
              <w:lang w:val="en-US"/>
            </w:rPr>
            <w:t>(Tafara et al., 2022)</w:t>
          </w:r>
        </w:sdtContent>
      </w:sdt>
      <w:r w:rsidRPr="00AD4D69">
        <w:rPr>
          <w:lang w:val="en-US"/>
        </w:rPr>
        <w:t>. Selain itu, cadangan devisa juga membantu meredam guncangan internal atau eksternal atau terhentinya arus masuk modal asing secara tiba-tiba</w:t>
      </w:r>
      <w:r w:rsidRPr="00AD4D69">
        <w:rPr>
          <w:b/>
          <w:bCs/>
          <w:lang w:val="en-US"/>
        </w:rPr>
        <w:t xml:space="preserve"> </w:t>
      </w:r>
      <w:sdt>
        <w:sdtPr>
          <w:rPr>
            <w:bCs/>
            <w:lang w:val="en-US"/>
          </w:rPr>
          <w:tag w:val="MENDELEY_CITATION_v3_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"/>
          <w:id w:val="873350531"/>
          <w:placeholder>
            <w:docPart w:val="D23B99E82A5CC64FA3425C03FFE5886A"/>
          </w:placeholder>
        </w:sdtPr>
        <w:sdtEndPr/>
        <w:sdtContent>
          <w:r w:rsidRPr="00AD4D69">
            <w:rPr>
              <w:lang w:val="en-US"/>
            </w:rPr>
            <w:t>(Ali &amp; Ismail, 2024)</w:t>
          </w:r>
        </w:sdtContent>
      </w:sdt>
      <w:r w:rsidRPr="00AD4D69">
        <w:rPr>
          <w:lang w:val="en-US"/>
        </w:rPr>
        <w:t xml:space="preserve">. Ketika suatu negara mempunyai cadangan devisa yang rendah, maka kegiatan perekonomiannya akan terhambat </w:t>
      </w:r>
      <w:sdt>
        <w:sdtPr>
          <w:rPr>
            <w:lang w:val="en-US"/>
          </w:rPr>
          <w:tag w:val="MENDELEY_CITATION_v3_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"/>
          <w:id w:val="-355117717"/>
          <w:placeholder>
            <w:docPart w:val="D23B99E82A5CC64FA3425C03FFE5886A"/>
          </w:placeholder>
        </w:sdtPr>
        <w:sdtEndPr>
          <w:rPr>
            <w:bCs/>
          </w:rPr>
        </w:sdtEndPr>
        <w:sdtContent>
          <w:r w:rsidRPr="00AD4D69">
            <w:rPr>
              <w:bCs/>
              <w:lang w:val="en-US"/>
            </w:rPr>
            <w:t>(Murni et al., 2021)</w:t>
          </w:r>
        </w:sdtContent>
      </w:sdt>
      <w:r w:rsidRPr="00AD4D69">
        <w:rPr>
          <w:lang w:val="en-US"/>
        </w:rPr>
        <w:t>.</w:t>
      </w:r>
    </w:p>
    <w:p w14:paraId="4D74951C" w14:textId="2F89115B" w:rsidR="0048624B" w:rsidRDefault="0048624B" w:rsidP="0048624B">
      <w:pPr>
        <w:spacing w:before="60" w:after="240" w:line="240" w:lineRule="auto"/>
        <w:jc w:val="both"/>
        <w:rPr>
          <w:b/>
          <w:bCs/>
          <w:lang w:val="en-US"/>
        </w:rPr>
      </w:pPr>
      <w:r w:rsidRPr="00696200">
        <w:rPr>
          <w:noProof/>
          <w:sz w:val="24"/>
          <w:szCs w:val="24"/>
        </w:rPr>
        <w:drawing>
          <wp:anchor distT="0" distB="0" distL="114300" distR="114300" simplePos="0" relativeHeight="251663360" behindDoc="1" locked="0" layoutInCell="1" allowOverlap="1" wp14:anchorId="496A8FA1" wp14:editId="1D0316B4">
            <wp:simplePos x="0" y="0"/>
            <wp:positionH relativeFrom="column">
              <wp:posOffset>1905</wp:posOffset>
            </wp:positionH>
            <wp:positionV relativeFrom="paragraph">
              <wp:posOffset>200025</wp:posOffset>
            </wp:positionV>
            <wp:extent cx="5666740" cy="2997835"/>
            <wp:effectExtent l="0" t="0" r="0" b="0"/>
            <wp:wrapTight wrapText="bothSides">
              <wp:wrapPolygon edited="0">
                <wp:start x="0" y="0"/>
                <wp:lineTo x="0" y="21504"/>
                <wp:lineTo x="21542" y="21504"/>
                <wp:lineTo x="21542"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2390"/>
                    <a:stretch/>
                  </pic:blipFill>
                  <pic:spPr bwMode="auto">
                    <a:xfrm>
                      <a:off x="0" y="0"/>
                      <a:ext cx="5666740" cy="2997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8624B">
        <w:rPr>
          <w:b/>
          <w:bCs/>
          <w:lang w:val="en-US"/>
        </w:rPr>
        <w:t>Gambar 1</w:t>
      </w:r>
      <w:r w:rsidR="007F1B58" w:rsidRPr="0048624B">
        <w:rPr>
          <w:b/>
          <w:bCs/>
          <w:lang w:val="en-US"/>
        </w:rPr>
        <w:t xml:space="preserve"> </w:t>
      </w:r>
      <w:r w:rsidRPr="0048624B">
        <w:rPr>
          <w:b/>
          <w:bCs/>
          <w:lang w:val="en-US"/>
        </w:rPr>
        <w:t>GDP di Negara-negara BRICS tahun 2019-2023 (%)</w:t>
      </w:r>
    </w:p>
    <w:p w14:paraId="4B8DBBFD" w14:textId="3DCCE7F8" w:rsidR="0048624B" w:rsidRPr="0048624B" w:rsidRDefault="0048624B" w:rsidP="0048624B">
      <w:pPr>
        <w:spacing w:before="60" w:after="240" w:line="240" w:lineRule="auto"/>
        <w:jc w:val="both"/>
        <w:rPr>
          <w:lang w:val="en-US"/>
        </w:rPr>
      </w:pPr>
      <w:r w:rsidRPr="0048624B">
        <w:rPr>
          <w:lang w:val="en-US"/>
        </w:rPr>
        <w:t xml:space="preserve">Sumber: </w:t>
      </w:r>
      <w:r w:rsidRPr="00706AE0">
        <w:rPr>
          <w:i/>
          <w:iCs/>
          <w:lang w:val="en-US"/>
        </w:rPr>
        <w:t>B</w:t>
      </w:r>
      <w:r w:rsidR="00706AE0" w:rsidRPr="00706AE0">
        <w:rPr>
          <w:i/>
          <w:iCs/>
          <w:lang w:val="en-US"/>
        </w:rPr>
        <w:t>RICS Digital Economy Report</w:t>
      </w:r>
      <w:r>
        <w:rPr>
          <w:lang w:val="en-US"/>
        </w:rPr>
        <w:t xml:space="preserve"> (</w:t>
      </w:r>
      <w:r w:rsidRPr="0048624B">
        <w:rPr>
          <w:lang w:val="en-US"/>
        </w:rPr>
        <w:t>Data Diolah</w:t>
      </w:r>
      <w:r>
        <w:rPr>
          <w:lang w:val="en-US"/>
        </w:rPr>
        <w:t>, 2025)</w:t>
      </w:r>
    </w:p>
    <w:p w14:paraId="081A408A" w14:textId="78EBF00E" w:rsidR="0048624B" w:rsidRDefault="0048624B" w:rsidP="0048624B">
      <w:pPr>
        <w:spacing w:before="60" w:after="240" w:line="240" w:lineRule="auto"/>
        <w:jc w:val="both"/>
        <w:rPr>
          <w:lang w:val="en-US"/>
        </w:rPr>
      </w:pPr>
      <w:r w:rsidRPr="0048624B">
        <w:rPr>
          <w:lang w:val="en-US"/>
        </w:rPr>
        <w:t xml:space="preserve">BRICS merupakan sebuah kelompok ekonomi yang tediri dari lima negara yaitu Brasil, Rusia, India, Tiongkok dan Afrika Selatan. </w:t>
      </w:r>
      <w:sdt>
        <w:sdtPr>
          <w:rPr>
            <w:lang w:val="en-US"/>
          </w:rPr>
          <w:tag w:val="MENDELEY_CITATION_v3_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"/>
          <w:id w:val="6881515"/>
          <w:placeholder>
            <w:docPart w:val="B8015A522478504585BACD142EC33989"/>
          </w:placeholder>
        </w:sdtPr>
        <w:sdtEndPr/>
        <w:sdtContent>
          <w:r w:rsidRPr="0048624B">
            <w:rPr>
              <w:i/>
              <w:iCs/>
              <w:lang w:val="en-US"/>
            </w:rPr>
            <w:t xml:space="preserve">BRICS Digital Economy </w:t>
          </w:r>
          <w:proofErr w:type="gramStart"/>
          <w:r w:rsidRPr="0048624B">
            <w:rPr>
              <w:i/>
              <w:iCs/>
              <w:lang w:val="en-US"/>
            </w:rPr>
            <w:t>Report  (</w:t>
          </w:r>
          <w:proofErr w:type="gramEnd"/>
          <w:r w:rsidRPr="0048624B">
            <w:rPr>
              <w:i/>
              <w:iCs/>
              <w:lang w:val="en-US"/>
            </w:rPr>
            <w:t>2022)</w:t>
          </w:r>
        </w:sdtContent>
      </w:sdt>
      <w:r w:rsidRPr="0048624B">
        <w:rPr>
          <w:lang w:val="en-US"/>
        </w:rPr>
        <w:t xml:space="preserve"> menyatakan bahwa keragaman ekonomi yang mencolok menjadi ciri khas kelompok BRICS. Gambar 1.1 menunjukkan bahwa </w:t>
      </w:r>
      <w:r w:rsidRPr="0048624B">
        <w:rPr>
          <w:i/>
          <w:iCs/>
          <w:lang w:val="en-US"/>
        </w:rPr>
        <w:t>Gross Domestic Product (GDP)</w:t>
      </w:r>
      <w:r w:rsidRPr="0048624B">
        <w:rPr>
          <w:lang w:val="en-US"/>
        </w:rPr>
        <w:t xml:space="preserve"> pada negara-negara BRICS berbeda-beda. Negara-negara anggota BRICS memiliki model ekonomi yang sangat berbeda, mulai dari yang berbasis sumber daya alam hingga yang berorientasi pada manufaktur global. Meski berbeda, negara-negara BRICS menunjukkan tren menuju kesamaan ekonomi. Hal ini didorong oleh kerja sama perdagangan, investasi, dan tujuan pembangunan bersama.</w:t>
      </w:r>
      <w:r>
        <w:rPr>
          <w:lang w:val="en-US"/>
        </w:rPr>
        <w:t xml:space="preserve"> </w:t>
      </w:r>
      <w:r w:rsidRPr="0048624B">
        <w:rPr>
          <w:lang w:val="en-US"/>
        </w:rPr>
        <w:t xml:space="preserve">Negara-negara BRICS merupakan negara berkembang yang berhasil mengumpulkan cadangan devisa dalam jumlah besar dan memberikan kontribusi penting terhadap perdagangan dunia selama tiga dekade terakhir </w:t>
      </w:r>
      <w:sdt>
        <w:sdtPr>
          <w:rPr>
            <w:lang w:val="en-US"/>
          </w:rPr>
          <w:tag w:val="MENDELEY_CITATION_v3_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"/>
          <w:id w:val="1527293658"/>
          <w:placeholder>
            <w:docPart w:val="B1B0176F8ABB064DB41FED11475D3D21"/>
          </w:placeholder>
        </w:sdtPr>
        <w:sdtEndPr>
          <w:rPr>
            <w:bCs/>
          </w:rPr>
        </w:sdtEndPr>
        <w:sdtContent>
          <w:r w:rsidRPr="0048624B">
            <w:rPr>
              <w:bCs/>
              <w:lang w:val="en-US"/>
            </w:rPr>
            <w:t>(Bindu et al., 2024)</w:t>
          </w:r>
        </w:sdtContent>
      </w:sdt>
      <w:r w:rsidRPr="0048624B">
        <w:rPr>
          <w:lang w:val="en-US"/>
        </w:rPr>
        <w:t xml:space="preserve">. Saat ini, negara-negara BRICS mencakup 26,46 persen wilayah dunia dan 41,93 persen total populasi dunia </w:t>
      </w:r>
      <w:sdt>
        <w:sdtPr>
          <w:rPr>
            <w:lang w:val="en-US"/>
          </w:rPr>
          <w:tag w:val="MENDELEY_CITATION_v3_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"/>
          <w:id w:val="701287360"/>
          <w:placeholder>
            <w:docPart w:val="B1B0176F8ABB064DB41FED11475D3D21"/>
          </w:placeholder>
        </w:sdtPr>
        <w:sdtEndPr/>
        <w:sdtContent>
          <w:r w:rsidRPr="0048624B">
            <w:rPr>
              <w:lang w:val="en-US"/>
            </w:rPr>
            <w:t>(Wang, 2023)</w:t>
          </w:r>
        </w:sdtContent>
      </w:sdt>
      <w:r w:rsidRPr="0048624B">
        <w:rPr>
          <w:lang w:val="en-US"/>
        </w:rPr>
        <w:t xml:space="preserve">. Data dari IMF menunjukkan bahwa negara-negara berkembang yang dipimpin oleh BRICS telah memberikan kontribusi lebih dari 70 persen pertumbuhan ekonomi global sejak awal berdirinya, dan negara-negara BRICS sendiri telah memberikan kontribusi lebih dari 50 persen pertumbuhan ekonomi global </w:t>
      </w:r>
      <w:sdt>
        <w:sdtPr>
          <w:rPr>
            <w:lang w:val="en-US"/>
          </w:rPr>
          <w:tag w:val="MENDELEY_CITATION_v3_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"/>
          <w:id w:val="-1979524552"/>
          <w:placeholder>
            <w:docPart w:val="B1B0176F8ABB064DB41FED11475D3D21"/>
          </w:placeholder>
        </w:sdtPr>
        <w:sdtEndPr/>
        <w:sdtContent>
          <w:r w:rsidRPr="0048624B">
            <w:rPr>
              <w:lang w:val="en-US"/>
            </w:rPr>
            <w:t>(Wang, 2023)</w:t>
          </w:r>
        </w:sdtContent>
      </w:sdt>
      <w:r w:rsidRPr="0048624B">
        <w:rPr>
          <w:lang w:val="en-US"/>
        </w:rPr>
        <w:t xml:space="preserve">. Negara-negara BRICS, secara kolektif, memiliki potensi ekonomi untuk melampaui ekonomi Kelompok Tujuh (G7) negara-negara terkaya pada tahun 2050 </w:t>
      </w:r>
      <w:sdt>
        <w:sdtPr>
          <w:rPr>
            <w:lang w:val="en-US"/>
          </w:rPr>
          <w:tag w:val="MENDELEY_CITATION_v3_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"/>
          <w:id w:val="1148710162"/>
          <w:placeholder>
            <w:docPart w:val="311A905F14598C49AB40004BC9EAA272"/>
          </w:placeholder>
        </w:sdtPr>
        <w:sdtEndPr/>
        <w:sdtContent>
          <w:r w:rsidRPr="0048624B">
            <w:rPr>
              <w:lang w:val="en-US"/>
            </w:rPr>
            <w:t>(BRICS Digital Economy Report, 2022)</w:t>
          </w:r>
        </w:sdtContent>
      </w:sdt>
      <w:r w:rsidRPr="0048624B">
        <w:rPr>
          <w:lang w:val="en-US"/>
        </w:rPr>
        <w:t>.</w:t>
      </w:r>
      <w:bookmarkStart w:id="0" w:name="OLE_LINK1"/>
      <w:r w:rsidRPr="0048624B">
        <w:rPr>
          <w:lang w:val="en-US"/>
        </w:rPr>
        <w:t xml:space="preserve"> Sehingga, penting bagi negara-negara BRICS untuk memiliki cadangan devisa dalam jumlah tertentu untuk mendukung pertumbuhan ekonomi nasional yang stabil dan berkelanjutan </w:t>
      </w:r>
      <w:bookmarkEnd w:id="0"/>
      <w:sdt>
        <w:sdtPr>
          <w:rPr>
            <w:lang w:val="en-US"/>
          </w:rPr>
          <w:tag w:val="MENDELEY_CITATION_v3_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"/>
          <w:id w:val="-1234007527"/>
          <w:placeholder>
            <w:docPart w:val="B1B0176F8ABB064DB41FED11475D3D21"/>
          </w:placeholder>
        </w:sdtPr>
        <w:sdtEndPr/>
        <w:sdtContent>
          <w:r w:rsidRPr="0048624B">
            <w:rPr>
              <w:lang w:val="en-US"/>
            </w:rPr>
            <w:t>(Wang, 2023)</w:t>
          </w:r>
        </w:sdtContent>
      </w:sdt>
      <w:r w:rsidRPr="0048624B">
        <w:rPr>
          <w:lang w:val="en-US"/>
        </w:rPr>
        <w:t>.</w:t>
      </w:r>
    </w:p>
    <w:p w14:paraId="52038E70" w14:textId="07DA67B9" w:rsidR="00706AE0" w:rsidRPr="00706AE0" w:rsidRDefault="00706AE0" w:rsidP="00706AE0">
      <w:pPr>
        <w:spacing w:before="60" w:after="240" w:line="240" w:lineRule="auto"/>
        <w:jc w:val="both"/>
        <w:rPr>
          <w:lang w:val="en-US"/>
        </w:rPr>
      </w:pPr>
      <w:r w:rsidRPr="00706AE0">
        <w:rPr>
          <w:lang w:val="en-US"/>
        </w:rPr>
        <w:t xml:space="preserve">Ekspor adalah aktivitas mengirimkan barang atau jasa untuk dijual ke negara lain. Semakin tinggi nilai ekspor, semakin baik kondisi ekonomi suatu negara </w:t>
      </w:r>
      <w:sdt>
        <w:sdtPr>
          <w:rPr>
            <w:lang w:val="en-US"/>
          </w:rPr>
          <w:tag w:val="MENDELEY_CITATION_v3_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"/>
          <w:id w:val="-1368829629"/>
          <w:placeholder>
            <w:docPart w:val="BCE503692F71C248B6C770D5A08A39F9"/>
          </w:placeholder>
        </w:sdtPr>
        <w:sdtEndPr/>
        <w:sdtContent>
          <w:r w:rsidRPr="00706AE0">
            <w:rPr>
              <w:lang w:val="en-US"/>
            </w:rPr>
            <w:t>(Patone et al., 2020)</w:t>
          </w:r>
        </w:sdtContent>
      </w:sdt>
      <w:r w:rsidRPr="00706AE0">
        <w:rPr>
          <w:lang w:val="en-US"/>
        </w:rPr>
        <w:t xml:space="preserve">. Ekspor berkontribusi besar </w:t>
      </w:r>
      <w:r w:rsidRPr="00706AE0">
        <w:rPr>
          <w:lang w:val="en-US"/>
        </w:rPr>
        <w:lastRenderedPageBreak/>
        <w:t xml:space="preserve">terhadap pertumbuhan ekonomi </w:t>
      </w:r>
      <w:sdt>
        <w:sdtPr>
          <w:rPr>
            <w:lang w:val="en-US"/>
          </w:rPr>
          <w:tag w:val="MENDELEY_CITATION_v3_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"/>
          <w:id w:val="1738512387"/>
          <w:placeholder>
            <w:docPart w:val="BCE503692F71C248B6C770D5A08A39F9"/>
          </w:placeholder>
        </w:sdtPr>
        <w:sdtEndPr/>
        <w:sdtContent>
          <w:r w:rsidRPr="00706AE0">
            <w:rPr>
              <w:lang w:val="en-US"/>
            </w:rPr>
            <w:t>(Patone et al., 2020)</w:t>
          </w:r>
        </w:sdtContent>
      </w:sdt>
      <w:r w:rsidRPr="00706AE0">
        <w:rPr>
          <w:lang w:val="en-US"/>
        </w:rPr>
        <w:t>. Perusahaan melakukan ekspor dengan berbagai tujuan seperti untuk meningkatkan keuntungan dan memperluas pasar (</w:t>
      </w:r>
      <w:proofErr w:type="gramStart"/>
      <w:r w:rsidRPr="00706AE0">
        <w:rPr>
          <w:lang w:val="en-US"/>
        </w:rPr>
        <w:t>Anjelita  et</w:t>
      </w:r>
      <w:proofErr w:type="gramEnd"/>
      <w:r w:rsidRPr="00706AE0">
        <w:rPr>
          <w:lang w:val="en-US"/>
        </w:rPr>
        <w:t xml:space="preserve">  al. dalam </w:t>
      </w:r>
      <w:sdt>
        <w:sdtPr>
          <w:rPr>
            <w:lang w:val="en-US"/>
          </w:rPr>
          <w:tag w:val="MENDELEY_CITATION_v3_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"/>
          <w:id w:val="-727297638"/>
          <w:placeholder>
            <w:docPart w:val="BCE503692F71C248B6C770D5A08A39F9"/>
          </w:placeholder>
        </w:sdtPr>
        <w:sdtEndPr/>
        <w:sdtContent>
          <w:r w:rsidRPr="00706AE0">
            <w:rPr>
              <w:lang w:val="en-US"/>
            </w:rPr>
            <w:t>Saraswati et al., 2023)</w:t>
          </w:r>
        </w:sdtContent>
      </w:sdt>
      <w:r w:rsidRPr="00706AE0">
        <w:rPr>
          <w:lang w:val="en-US"/>
        </w:rPr>
        <w:t>. Selain keuntungan finansial, ekspor juga memberikan manfaat lain bagi negara. Misalnya, memperkenalkan produk dalam negeri ke pasar internasional dan meningkatkan devisa negara.</w:t>
      </w:r>
      <w:r w:rsidRPr="00706AE0">
        <w:rPr>
          <w:rFonts w:ascii="Segoe UI" w:hAnsi="Segoe UI" w:cs="Segoe UI"/>
          <w:b/>
          <w:bCs/>
          <w:color w:val="0F1115"/>
          <w:shd w:val="clear" w:color="auto" w:fill="FFFFFF"/>
        </w:rPr>
        <w:t xml:space="preserve"> </w:t>
      </w:r>
      <w:r w:rsidRPr="00706AE0">
        <w:t>Tiongkok secara konsisten menjadi raksasa ekspor net dengan surplus yang sangat besar. Sepanjang lima tahun, surplusnya selalu berada di atas angka US$350 miliar, bahkan sempat mendekati US$600 miliar pada 2022</w:t>
      </w:r>
      <w:r>
        <w:rPr>
          <w:lang w:val="en-US"/>
        </w:rPr>
        <w:t xml:space="preserve"> </w:t>
      </w:r>
      <w:sdt>
        <w:sdtPr>
          <w:rPr>
            <w:lang w:val="en-US"/>
          </w:rPr>
          <w:tag w:val="MENDELEY_CITATION_v3_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"/>
          <w:id w:val="-1532093435"/>
          <w:placeholder>
            <w:docPart w:val="11BAB2024B3D2747824F631A4F5C77FD"/>
          </w:placeholder>
        </w:sdtPr>
        <w:sdtEndPr/>
        <w:sdtContent>
          <w:r w:rsidRPr="00706AE0">
            <w:rPr>
              <w:lang w:val="en-US"/>
            </w:rPr>
            <w:t>(Azhar et al., 2024)</w:t>
          </w:r>
        </w:sdtContent>
      </w:sdt>
      <w:r w:rsidRPr="00706AE0">
        <w:rPr>
          <w:lang w:val="en-US"/>
        </w:rPr>
        <w:t xml:space="preserve">. Banyak faktor yang berkontribusi pada keberhasilan ekonomi Tiongkok, dua di antaranya yang paling menonjol adalah penanaman modal asing (FDI) dan ekspor </w:t>
      </w:r>
      <w:sdt>
        <w:sdtPr>
          <w:rPr>
            <w:lang w:val="en-US"/>
          </w:rPr>
          <w:tag w:val="MENDELEY_CITATION_v3_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"/>
          <w:id w:val="51509923"/>
          <w:placeholder>
            <w:docPart w:val="11BAB2024B3D2747824F631A4F5C77FD"/>
          </w:placeholder>
        </w:sdtPr>
        <w:sdtEndPr/>
        <w:sdtContent>
          <w:r w:rsidRPr="00706AE0">
            <w:rPr>
              <w:lang w:val="en-US"/>
            </w:rPr>
            <w:t>(Azhar et al., 2024)</w:t>
          </w:r>
        </w:sdtContent>
      </w:sdt>
      <w:r w:rsidRPr="00706AE0">
        <w:rPr>
          <w:lang w:val="en-US"/>
        </w:rPr>
        <w:t>.</w:t>
      </w:r>
    </w:p>
    <w:p w14:paraId="5DAC3BB4" w14:textId="63CBAAF5" w:rsidR="00706AE0" w:rsidRPr="00706AE0" w:rsidRDefault="00706AE0" w:rsidP="00706AE0">
      <w:pPr>
        <w:spacing w:before="60" w:after="240" w:line="240" w:lineRule="auto"/>
        <w:jc w:val="both"/>
        <w:rPr>
          <w:lang w:val="en-US"/>
        </w:rPr>
      </w:pPr>
      <w:r w:rsidRPr="00706AE0">
        <w:rPr>
          <w:lang w:val="en-US"/>
        </w:rPr>
        <w:t xml:space="preserve">Tiongkok memiliki cadangan devisa tertinggi. Berdasarkan data </w:t>
      </w:r>
      <w:r w:rsidRPr="00706AE0">
        <w:rPr>
          <w:i/>
          <w:iCs/>
          <w:lang w:val="en-US"/>
        </w:rPr>
        <w:t>International Monetary Fund (IMF)</w:t>
      </w:r>
      <w:r w:rsidRPr="00706AE0">
        <w:rPr>
          <w:lang w:val="en-US"/>
        </w:rPr>
        <w:t xml:space="preserve"> tahun 2018, cadangan devisa Tiongkok mencapai hampir sepertiga dari total cadangan devisa dunia, yang menunjukkan peran signifikan Tiongkok dalam sistem keuangan global </w:t>
      </w:r>
      <w:sdt>
        <w:sdtPr>
          <w:rPr>
            <w:lang w:val="en-US"/>
          </w:rPr>
          <w:tag w:val="MENDELEY_CITATION_v3_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"/>
          <w:id w:val="-1558778124"/>
          <w:placeholder>
            <w:docPart w:val="0729BF49BA5A1C49BE2C0F8E53CBB34D"/>
          </w:placeholder>
        </w:sdtPr>
        <w:sdtEndPr/>
        <w:sdtContent>
          <w:r w:rsidRPr="00706AE0">
            <w:rPr>
              <w:lang w:val="en-US"/>
            </w:rPr>
            <w:t>(Sun, 2024)</w:t>
          </w:r>
        </w:sdtContent>
      </w:sdt>
      <w:r w:rsidRPr="00706AE0">
        <w:rPr>
          <w:lang w:val="en-US"/>
        </w:rPr>
        <w:t xml:space="preserve">. Tingginya cadangan devisa telah meningkatkan kemampuan Tiongkok dalam menyeimbangkan neraca pembayarannya </w:t>
      </w:r>
      <w:sdt>
        <w:sdtPr>
          <w:rPr>
            <w:lang w:val="en-US"/>
          </w:rPr>
          <w:tag w:val="MENDELEY_CITATION_v3_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"/>
          <w:id w:val="551817210"/>
          <w:placeholder>
            <w:docPart w:val="0729BF49BA5A1C49BE2C0F8E53CBB34D"/>
          </w:placeholder>
        </w:sdtPr>
        <w:sdtEndPr/>
        <w:sdtContent>
          <w:r w:rsidRPr="00706AE0">
            <w:rPr>
              <w:lang w:val="en-US"/>
            </w:rPr>
            <w:t>(Zhang, 2021)</w:t>
          </w:r>
        </w:sdtContent>
      </w:sdt>
      <w:r w:rsidRPr="00706AE0">
        <w:rPr>
          <w:lang w:val="en-US"/>
        </w:rPr>
        <w:t xml:space="preserve">. </w:t>
      </w:r>
      <w:r w:rsidR="0017466A" w:rsidRPr="00706AE0">
        <w:rPr>
          <w:lang w:val="id-ID"/>
        </w:rPr>
        <w:t>Secara keseluruhan, Tiongkok menempati posisi yang sangat dominan dengan cadangan devisa terbesar di dunia, yang konsisten berada di atas US$3 triliun sepanjang periode tersebut</w:t>
      </w:r>
      <w:r w:rsidR="0017466A">
        <w:rPr>
          <w:lang w:val="en-US"/>
        </w:rPr>
        <w:t xml:space="preserve">. </w:t>
      </w:r>
      <w:r w:rsidRPr="00706AE0">
        <w:rPr>
          <w:lang w:val="en-US"/>
        </w:rPr>
        <w:t xml:space="preserve">Meskipun cadangan devisa yang besar dapat memberikan manfaat, cadangan yang sangat tinggi di Tiongkok telah menimbulkan dampak negatif terhadap perekonomian, seperti pemborosan modal, peningkatan biaya marjinal, serta pengorbanan konsumsi dan investasi domestik </w:t>
      </w:r>
      <w:sdt>
        <w:sdtPr>
          <w:rPr>
            <w:lang w:val="en-US"/>
          </w:rPr>
          <w:tag w:val="MENDELEY_CITATION_v3_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"/>
          <w:id w:val="1060134409"/>
          <w:placeholder>
            <w:docPart w:val="059795A3FE1D224B8103B7C6BEFFD343"/>
          </w:placeholder>
        </w:sdtPr>
        <w:sdtEndPr/>
        <w:sdtContent>
          <w:r w:rsidRPr="00706AE0">
            <w:rPr>
              <w:lang w:val="en-US"/>
            </w:rPr>
            <w:t>(Zhang, 2021)</w:t>
          </w:r>
        </w:sdtContent>
      </w:sdt>
      <w:r w:rsidRPr="00706AE0">
        <w:rPr>
          <w:lang w:val="en-US"/>
        </w:rPr>
        <w:t xml:space="preserve">. Tingkat cadangan devisa suatu negara biasanya dipengaruhi oleh aktivitas perdagangan, seperti ekspor, impor, dan aliran modal </w:t>
      </w:r>
      <w:sdt>
        <w:sdtPr>
          <w:rPr>
            <w:lang w:val="en-US"/>
          </w:rPr>
          <w:tag w:val="MENDELEY_CITATION_v3_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"/>
          <w:id w:val="-1940904500"/>
          <w:placeholder>
            <w:docPart w:val="059795A3FE1D224B8103B7C6BEFFD343"/>
          </w:placeholder>
        </w:sdtPr>
        <w:sdtEndPr/>
        <w:sdtContent>
          <w:r w:rsidRPr="00706AE0">
            <w:rPr>
              <w:lang w:val="en-US"/>
            </w:rPr>
            <w:t>(Purba et al., 2023)</w:t>
          </w:r>
        </w:sdtContent>
      </w:sdt>
      <w:r w:rsidRPr="00706AE0">
        <w:rPr>
          <w:lang w:val="en-US"/>
        </w:rPr>
        <w:t xml:space="preserve">. Ada berbagai faktor yang berpengaruh terhadap cadangan devisa, yaitu utang luar negeri, investasi asing langsung, pembayaran utang luar negeri, remitansi, ekspor, impor, nilai tukar perdagangan, inflasi, bantuan luar negeri, neraca perdagangan, saldo transaksi berjalan </w:t>
      </w:r>
      <w:sdt>
        <w:sdtPr>
          <w:rPr>
            <w:lang w:val="en-US"/>
          </w:rPr>
          <w:tag w:val="MENDELEY_CITATION_v3_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"/>
          <w:id w:val="1109399962"/>
          <w:placeholder>
            <w:docPart w:val="059795A3FE1D224B8103B7C6BEFFD343"/>
          </w:placeholder>
        </w:sdtPr>
        <w:sdtEndPr/>
        <w:sdtContent>
          <w:r w:rsidRPr="00706AE0">
            <w:rPr>
              <w:lang w:val="en-US"/>
            </w:rPr>
            <w:t>(Ali &amp; Ismail, 2024)</w:t>
          </w:r>
        </w:sdtContent>
      </w:sdt>
      <w:r w:rsidRPr="00706AE0">
        <w:rPr>
          <w:lang w:val="en-US"/>
        </w:rPr>
        <w:t>.</w:t>
      </w:r>
    </w:p>
    <w:p w14:paraId="013926FC" w14:textId="26207932" w:rsidR="00706AE0" w:rsidRPr="00706AE0" w:rsidRDefault="00706AE0" w:rsidP="00706AE0">
      <w:pPr>
        <w:spacing w:before="60" w:after="240" w:line="240" w:lineRule="auto"/>
        <w:jc w:val="both"/>
        <w:rPr>
          <w:lang w:val="en-US"/>
        </w:rPr>
      </w:pPr>
      <w:r w:rsidRPr="00706AE0">
        <w:rPr>
          <w:lang w:val="en-US"/>
        </w:rPr>
        <w:t xml:space="preserve">Investasi merupakan pembelian aset yang digunakan untuk meningkatkan produksi suatu negara. Investasi tidak hanya berupa uang, tetapi juga mencakup teknologi, keahlian, dan informasi </w:t>
      </w:r>
      <w:sdt>
        <w:sdtPr>
          <w:rPr>
            <w:lang w:val="en-US"/>
          </w:rPr>
          <w:tag w:val="MENDELEY_CITATION_v3_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"/>
          <w:id w:val="-1934735961"/>
          <w:placeholder>
            <w:docPart w:val="D4CA6A1E441F7D4FBA4F093F94C0DE41"/>
          </w:placeholder>
        </w:sdtPr>
        <w:sdtEndPr/>
        <w:sdtContent>
          <w:r w:rsidRPr="00706AE0">
            <w:rPr>
              <w:lang w:val="en-US"/>
            </w:rPr>
            <w:t>(Onny Amirsyah, 2020)</w:t>
          </w:r>
        </w:sdtContent>
      </w:sdt>
      <w:r w:rsidRPr="00706AE0">
        <w:rPr>
          <w:lang w:val="en-US"/>
        </w:rPr>
        <w:t xml:space="preserve">. Investasi asing langsung (FDI) dan peningkatan ekspor sangat penting bagi pertumbuhan ekonomi suatu negara. Keduanya berperan sebagai motor penggerak pembangunan </w:t>
      </w:r>
      <w:sdt>
        <w:sdtPr>
          <w:rPr>
            <w:lang w:val="en-US"/>
          </w:rPr>
          <w:tag w:val="MENDELEY_CITATION_v3_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"/>
          <w:id w:val="-989408003"/>
          <w:placeholder>
            <w:docPart w:val="D4CA6A1E441F7D4FBA4F093F94C0DE41"/>
          </w:placeholder>
        </w:sdtPr>
        <w:sdtEndPr/>
        <w:sdtContent>
          <w:r w:rsidRPr="00706AE0">
            <w:rPr>
              <w:lang w:val="en-US"/>
            </w:rPr>
            <w:t>(Banday et al., 2021)</w:t>
          </w:r>
        </w:sdtContent>
      </w:sdt>
      <w:r w:rsidRPr="00706AE0">
        <w:rPr>
          <w:lang w:val="en-US"/>
        </w:rPr>
        <w:t xml:space="preserve">. Investasi Asing Langsung berkontribusi pada peningkatan produktivitas melalui transfer teknologi dan peningkatan efisiensi (Azman-Saini et al. dalam </w:t>
      </w:r>
      <w:sdt>
        <w:sdtPr>
          <w:rPr>
            <w:lang w:val="en-US"/>
          </w:rPr>
          <w:tag w:val="MENDELEY_CITATION_v3_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"/>
          <w:id w:val="902567817"/>
          <w:placeholder>
            <w:docPart w:val="C6D98DBCC727B74A97A146346A92317F"/>
          </w:placeholder>
        </w:sdtPr>
        <w:sdtEndPr/>
        <w:sdtContent>
          <w:r w:rsidRPr="00706AE0">
            <w:rPr>
              <w:lang w:val="en-US"/>
            </w:rPr>
            <w:t>Saraan et al., 2023)</w:t>
          </w:r>
        </w:sdtContent>
      </w:sdt>
      <w:r w:rsidRPr="00706AE0">
        <w:rPr>
          <w:lang w:val="en-US"/>
        </w:rPr>
        <w:t xml:space="preserve">. FDI juga membuka peluang pasar yang lebih luas bagi produk dalam negeri. Hal ini dapat meningkatkan daya saing produk dan mendorong pertumbuhan ekspor (Roy &amp; Mandal dalam </w:t>
      </w:r>
      <w:sdt>
        <w:sdtPr>
          <w:rPr>
            <w:lang w:val="en-US"/>
          </w:rPr>
          <w:tag w:val="MENDELEY_CITATION_v3_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"/>
          <w:id w:val="-858575190"/>
          <w:placeholder>
            <w:docPart w:val="C6D98DBCC727B74A97A146346A92317F"/>
          </w:placeholder>
        </w:sdtPr>
        <w:sdtEndPr/>
        <w:sdtContent>
          <w:r w:rsidRPr="00706AE0">
            <w:rPr>
              <w:lang w:val="en-US"/>
            </w:rPr>
            <w:t>Saraan et al., 2023)</w:t>
          </w:r>
        </w:sdtContent>
      </w:sdt>
      <w:r w:rsidRPr="00706AE0">
        <w:rPr>
          <w:lang w:val="en-US"/>
        </w:rPr>
        <w:t xml:space="preserve">. </w:t>
      </w:r>
      <w:r>
        <w:rPr>
          <w:lang w:val="en-US"/>
        </w:rPr>
        <w:t>N</w:t>
      </w:r>
      <w:r w:rsidRPr="00706AE0">
        <w:rPr>
          <w:lang w:val="en-US"/>
        </w:rPr>
        <w:t xml:space="preserve">egara Tiongkok pada tahun 2019 hingga 2022 memiliki investasi asing langsung yang paling tinggi. Lalu, Brazil memiliki investasi asing langsung tertinggi diantara negara anggota BRICS lainnya di tahun 2023. Alasan negara Tiongkok memiliki FDI tertinggi karena aturan FDI Tiongkok tidak diadopsi secara terpisah, melainkan dimasukkan dalam konteks yang lebih luas dari kebijakan ekonomi makro dan industri yang tunduk pada strategi pembangunan ekonomi, seperti nilai tukar tetap atau sangat terkendali (selalu menguntungkan ekspor), pengendalian atas akun modal, suku bunga rendah, kredit publik bersubsidi untuk perusahaan nasional dan insentif pajak, di antara banyak lainnya </w:t>
      </w:r>
      <w:sdt>
        <w:sdtPr>
          <w:rPr>
            <w:lang w:val="en-US"/>
          </w:rPr>
          <w:tag w:val="MENDELEY_CITATION_v3_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"/>
          <w:id w:val="-470673088"/>
          <w:placeholder>
            <w:docPart w:val="C701D94B368F204AB8BB05E4D49133E0"/>
          </w:placeholder>
        </w:sdtPr>
        <w:sdtEndPr/>
        <w:sdtContent>
          <w:r w:rsidRPr="00706AE0">
            <w:rPr>
              <w:lang w:val="en-US"/>
            </w:rPr>
            <w:t>(Carvalho &amp; Nogueira, 2023)</w:t>
          </w:r>
        </w:sdtContent>
      </w:sdt>
      <w:r w:rsidRPr="00706AE0">
        <w:rPr>
          <w:lang w:val="en-US"/>
        </w:rPr>
        <w:t>.</w:t>
      </w:r>
    </w:p>
    <w:p w14:paraId="4BACB688" w14:textId="4DEF7994" w:rsidR="00706AE0" w:rsidRPr="00706AE0" w:rsidRDefault="00706AE0" w:rsidP="00706AE0">
      <w:pPr>
        <w:spacing w:before="60" w:after="240" w:line="240" w:lineRule="auto"/>
        <w:jc w:val="both"/>
        <w:rPr>
          <w:lang w:val="en-US"/>
        </w:rPr>
      </w:pPr>
      <w:r w:rsidRPr="00706AE0">
        <w:rPr>
          <w:lang w:val="en-US"/>
        </w:rPr>
        <w:t xml:space="preserve">Remitansi adalah pengiriman uang oleh pekerja migran kepada keluarga atau kerabat di negara asal mereka. Remitansi juga merupakan komponen yang berdampak besar dalam neraca pembayaran, terutama bagi negara-negara berkembang karena memberikan aliran devisa yang stabil </w:t>
      </w:r>
      <w:sdt>
        <w:sdtPr>
          <w:rPr>
            <w:lang w:val="en-US"/>
          </w:rPr>
          <w:tag w:val="MENDELEY_CITATION_v3_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"/>
          <w:id w:val="1837948233"/>
          <w:placeholder>
            <w:docPart w:val="271A42E0FDE7B34B8668B044BB7ABBBC"/>
          </w:placeholder>
        </w:sdtPr>
        <w:sdtEndPr/>
        <w:sdtContent>
          <w:r w:rsidRPr="00706AE0">
            <w:rPr>
              <w:lang w:val="en-US"/>
            </w:rPr>
            <w:t>(Goyal, 2017)</w:t>
          </w:r>
        </w:sdtContent>
      </w:sdt>
      <w:r w:rsidRPr="00706AE0">
        <w:rPr>
          <w:lang w:val="en-US"/>
        </w:rPr>
        <w:t xml:space="preserve">. India merupakan negara yang memiliki remitansi tertinggi, penerimaan remitansi di India mengalami peningkatan setiap tahunnya dari tahun 2019 hingga 2023. India telah menjadi salah satu penerima terbesar remitansi internasional karena besarnya populasi tenaga kerja migran yang tersebar di berbagai negara </w:t>
      </w:r>
      <w:sdt>
        <w:sdtPr>
          <w:rPr>
            <w:lang w:val="en-US"/>
          </w:rPr>
          <w:tag w:val="MENDELEY_CITATION_v3_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"/>
          <w:id w:val="-816881818"/>
          <w:placeholder>
            <w:docPart w:val="B18E456096DB7644AD35843736954CC7"/>
          </w:placeholder>
        </w:sdtPr>
        <w:sdtEndPr/>
        <w:sdtContent>
          <w:r w:rsidRPr="00706AE0">
            <w:rPr>
              <w:lang w:val="en-US"/>
            </w:rPr>
            <w:t>(Chintamani &amp; Kulkarni, 2023)</w:t>
          </w:r>
        </w:sdtContent>
      </w:sdt>
      <w:r w:rsidRPr="00706AE0">
        <w:rPr>
          <w:lang w:val="en-US"/>
        </w:rPr>
        <w:t xml:space="preserve">. Menurut </w:t>
      </w:r>
      <w:sdt>
        <w:sdtPr>
          <w:rPr>
            <w:lang w:val="en-US"/>
          </w:rPr>
          <w:tag w:val="MENDELEY_CITATION_v3_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"/>
          <w:id w:val="-1825883603"/>
          <w:placeholder>
            <w:docPart w:val="1D6C0CF23AB3F2479E61ABA3FFC60268"/>
          </w:placeholder>
        </w:sdtPr>
        <w:sdtEndPr/>
        <w:sdtContent>
          <w:r w:rsidRPr="00706AE0">
            <w:rPr>
              <w:lang w:val="en-US"/>
            </w:rPr>
            <w:t>Labor Migration in Asia</w:t>
          </w:r>
        </w:sdtContent>
      </w:sdt>
      <w:r w:rsidRPr="00706AE0">
        <w:rPr>
          <w:lang w:val="en-US"/>
        </w:rPr>
        <w:t xml:space="preserve">, India mengalami pemulihan pekerja migran keluar dari 94 ribu pada 2020 menjadi 398 ribu pada 2023, mengalami peningkatan signifikan dalam remitansi, dari 83,33 miliar dolar AS pada 2019 menjadi 119,53 miliar dolar AS pada 2023, mencerminkan pentingnya migrasi tenaga kerja dalam menopang transfer dana internasional. Sebaliknya, Tiongkok, meskipun outflows pekerja turun dari 487 ribu pada 2019 ke 347 ribu pada 2023, tetap menunjukkan pertumbuhan penerimaan remitansi, dari 182,94 miliar dolar AS pada 2019 menjadi 291,10 miliar dolar AS pada 2023. Ini menunjukkan bahwa kontribusi remitansi ke Tiongkok mungkin lebih terdiversifikasi atau didukung oleh pekerja yang lebih stabil di luar negeri, meskipun jumlah migran berkurang. </w:t>
      </w:r>
    </w:p>
    <w:p w14:paraId="2981C42C" w14:textId="77777777" w:rsidR="00706AE0" w:rsidRPr="00706AE0" w:rsidRDefault="00706AE0" w:rsidP="00706AE0">
      <w:pPr>
        <w:spacing w:before="60" w:after="240" w:line="240" w:lineRule="auto"/>
        <w:jc w:val="both"/>
        <w:rPr>
          <w:lang w:val="en-US"/>
        </w:rPr>
      </w:pPr>
      <w:r w:rsidRPr="00706AE0">
        <w:rPr>
          <w:lang w:val="en-US"/>
        </w:rPr>
        <w:lastRenderedPageBreak/>
        <w:t xml:space="preserve">Terdapat perbedaan yang mencolok dalam efektivitas faktor-faktor tersebut terhadap peningkatan cadangan devisa di berbagai negara, sehingga menimbulkan pertanyaan mengenai sejauh mana remitansi, ekspor, dan investasi asing langsung secara individual maupun bersama-sama memengaruhi cadangan devisa, terutama dalam konteks perbedaan struktur ekonomi dan kebijakan tiap negara. </w:t>
      </w:r>
      <w:r w:rsidRPr="00706AE0">
        <w:rPr>
          <w:bCs/>
          <w:lang w:val="en-US"/>
        </w:rPr>
        <w:t xml:space="preserve">Oleh karena itu, penelitian ini bertujuan untuk meneliti lebih dalam mengenai </w:t>
      </w:r>
      <w:r w:rsidRPr="00706AE0">
        <w:rPr>
          <w:lang w:val="en-US"/>
        </w:rPr>
        <w:t>sejauh mana remitansi, ekspor, dan investasi asing langsung secara individual maupun bersama-sama memengaruhi cadangan devisa di negara-negara BRICS.</w:t>
      </w:r>
    </w:p>
    <w:p w14:paraId="32D09B34" w14:textId="158FB08A" w:rsidR="0017466A" w:rsidRPr="0017466A" w:rsidRDefault="001C1497" w:rsidP="0017466A">
      <w:pPr>
        <w:spacing w:before="200" w:after="0"/>
        <w:jc w:val="both"/>
        <w:rPr>
          <w:b/>
          <w:sz w:val="20"/>
          <w:szCs w:val="20"/>
        </w:rPr>
      </w:pPr>
      <w:r>
        <w:rPr>
          <w:b/>
        </w:rPr>
        <w:t>METODE PENELITIAN</w:t>
      </w:r>
    </w:p>
    <w:p w14:paraId="2857C299" w14:textId="77777777" w:rsidR="0017466A" w:rsidRDefault="0017466A" w:rsidP="001746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en-US"/>
        </w:rPr>
      </w:pPr>
      <w:r w:rsidRPr="0017466A">
        <w:rPr>
          <w:color w:val="202124"/>
          <w:lang w:val="en-US"/>
        </w:rPr>
        <w:t xml:space="preserve">Bentuk dari penelitian ini yaitu penelitian kuantitatif dengan menggunakan pendekatan kausalitas. Adapun objek penelitian ini adalah negara-negara BRICS yang terdiri dari Brasil, Rusia, India, Tiongkok dan Afrika Selatan. Adapun penelitian ini untuk mengetahui besarnya pengaruh antara remitansi, ekspor dan investasi asing langsung sebagai variabel independen dan cadangan devisa sebagai variabel dependen. Data diambil dari periode tahun 2009 hingga 2023.  </w:t>
      </w:r>
      <w:proofErr w:type="gramStart"/>
      <w:r w:rsidRPr="0017466A">
        <w:rPr>
          <w:color w:val="202124"/>
          <w:lang w:val="en-US"/>
        </w:rPr>
        <w:t>Jenis</w:t>
      </w:r>
      <w:proofErr w:type="gramEnd"/>
      <w:r w:rsidRPr="0017466A">
        <w:rPr>
          <w:color w:val="202124"/>
          <w:lang w:val="en-US"/>
        </w:rPr>
        <w:t xml:space="preserve"> data yang digunakan adalah data sekunder yang diperoleh dari </w:t>
      </w:r>
      <w:r w:rsidRPr="0017466A">
        <w:rPr>
          <w:i/>
          <w:iCs/>
          <w:color w:val="202124"/>
          <w:lang w:val="en-US"/>
        </w:rPr>
        <w:t>World Bank</w:t>
      </w:r>
      <w:r w:rsidRPr="0017466A">
        <w:rPr>
          <w:color w:val="202124"/>
          <w:lang w:val="en-US"/>
        </w:rPr>
        <w:t xml:space="preserve">. </w:t>
      </w:r>
    </w:p>
    <w:p w14:paraId="52291519" w14:textId="77777777" w:rsidR="0017466A" w:rsidRPr="0017466A" w:rsidRDefault="0017466A" w:rsidP="001746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en-US"/>
        </w:rPr>
      </w:pPr>
      <w:r w:rsidRPr="0017466A">
        <w:rPr>
          <w:color w:val="202124"/>
          <w:lang w:val="en-US"/>
        </w:rPr>
        <w:t xml:space="preserve">Penelitian ini menggunakan metode regresi data panel dengan bantuan program </w:t>
      </w:r>
      <w:r w:rsidRPr="0017466A">
        <w:rPr>
          <w:i/>
          <w:iCs/>
          <w:color w:val="202124"/>
          <w:lang w:val="en-US"/>
        </w:rPr>
        <w:t>Eviews</w:t>
      </w:r>
      <w:r w:rsidRPr="0017466A">
        <w:rPr>
          <w:color w:val="202124"/>
          <w:lang w:val="en-US"/>
        </w:rPr>
        <w:t>. Berikut bentuk persamaannya:</w:t>
      </w:r>
    </w:p>
    <w:p w14:paraId="0D1B4204" w14:textId="6721996E" w:rsidR="0017466A" w:rsidRPr="0017466A" w:rsidRDefault="001C1497" w:rsidP="001746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en-US"/>
        </w:rPr>
      </w:pPr>
      <m:oMathPara>
        <m:oMath>
          <m:sSub>
            <m:sSubPr>
              <m:ctrlPr>
                <w:rPr>
                  <w:rFonts w:ascii="Cambria Math" w:hAnsi="Cambria Math"/>
                  <w:i/>
                  <w:color w:val="202124"/>
                  <w:lang w:val="en-US"/>
                </w:rPr>
              </m:ctrlPr>
            </m:sSubPr>
            <m:e>
              <m:r>
                <w:rPr>
                  <w:rFonts w:ascii="Cambria Math" w:hAnsi="Cambria Math"/>
                  <w:color w:val="202124"/>
                  <w:lang w:val="en-US"/>
                </w:rPr>
                <m:t>CD</m:t>
              </m:r>
            </m:e>
            <m:sub>
              <m:r>
                <w:rPr>
                  <w:rFonts w:ascii="Cambria Math" w:hAnsi="Cambria Math"/>
                  <w:color w:val="202124"/>
                  <w:lang w:val="en-US"/>
                </w:rPr>
                <m:t>it</m:t>
              </m:r>
            </m:sub>
          </m:sSub>
          <m:r>
            <w:rPr>
              <w:rFonts w:ascii="Cambria Math" w:hAnsi="Cambria Math"/>
              <w:color w:val="202124"/>
              <w:lang w:val="en-US"/>
            </w:rPr>
            <m:t>=α+</m:t>
          </m:r>
          <m:sSub>
            <m:sSubPr>
              <m:ctrlPr>
                <w:rPr>
                  <w:rFonts w:ascii="Cambria Math" w:hAnsi="Cambria Math"/>
                  <w:i/>
                  <w:color w:val="202124"/>
                  <w:lang w:val="en-US"/>
                </w:rPr>
              </m:ctrlPr>
            </m:sSubPr>
            <m:e>
              <m:r>
                <w:rPr>
                  <w:rFonts w:ascii="Cambria Math" w:hAnsi="Cambria Math"/>
                  <w:color w:val="202124"/>
                  <w:lang w:val="en-US"/>
                </w:rPr>
                <m:t>β</m:t>
              </m:r>
            </m:e>
            <m:sub>
              <m:r>
                <w:rPr>
                  <w:rFonts w:ascii="Cambria Math" w:hAnsi="Cambria Math"/>
                  <w:color w:val="202124"/>
                  <w:lang w:val="en-US"/>
                </w:rPr>
                <m:t>1</m:t>
              </m:r>
            </m:sub>
          </m:sSub>
          <m:sSub>
            <m:sSubPr>
              <m:ctrlPr>
                <w:rPr>
                  <w:rFonts w:ascii="Cambria Math" w:hAnsi="Cambria Math"/>
                  <w:i/>
                  <w:color w:val="202124"/>
                  <w:lang w:val="en-US"/>
                </w:rPr>
              </m:ctrlPr>
            </m:sSubPr>
            <m:e>
              <m:r>
                <w:rPr>
                  <w:rFonts w:ascii="Cambria Math" w:hAnsi="Cambria Math"/>
                  <w:color w:val="202124"/>
                  <w:lang w:val="en-US"/>
                </w:rPr>
                <m:t>R</m:t>
              </m:r>
            </m:e>
            <m:sub>
              <m:r>
                <w:rPr>
                  <w:rFonts w:ascii="Cambria Math" w:hAnsi="Cambria Math"/>
                  <w:color w:val="202124"/>
                  <w:lang w:val="en-US"/>
                </w:rPr>
                <m:t>it</m:t>
              </m:r>
            </m:sub>
          </m:sSub>
          <m:r>
            <w:rPr>
              <w:rFonts w:ascii="Cambria Math" w:hAnsi="Cambria Math"/>
              <w:color w:val="202124"/>
              <w:lang w:val="en-US"/>
            </w:rPr>
            <m:t>+</m:t>
          </m:r>
          <m:sSub>
            <m:sSubPr>
              <m:ctrlPr>
                <w:rPr>
                  <w:rFonts w:ascii="Cambria Math" w:hAnsi="Cambria Math"/>
                  <w:i/>
                  <w:color w:val="202124"/>
                  <w:lang w:val="en-US"/>
                </w:rPr>
              </m:ctrlPr>
            </m:sSubPr>
            <m:e>
              <m:r>
                <w:rPr>
                  <w:rFonts w:ascii="Cambria Math" w:hAnsi="Cambria Math"/>
                  <w:color w:val="202124"/>
                  <w:lang w:val="en-US"/>
                </w:rPr>
                <m:t>β</m:t>
              </m:r>
            </m:e>
            <m:sub>
              <m:r>
                <w:rPr>
                  <w:rFonts w:ascii="Cambria Math" w:hAnsi="Cambria Math"/>
                  <w:color w:val="202124"/>
                  <w:lang w:val="en-US"/>
                </w:rPr>
                <m:t>2</m:t>
              </m:r>
            </m:sub>
          </m:sSub>
          <m:sSub>
            <m:sSubPr>
              <m:ctrlPr>
                <w:rPr>
                  <w:rFonts w:ascii="Cambria Math" w:hAnsi="Cambria Math"/>
                  <w:i/>
                  <w:color w:val="202124"/>
                  <w:lang w:val="en-US"/>
                </w:rPr>
              </m:ctrlPr>
            </m:sSubPr>
            <m:e>
              <m:r>
                <w:rPr>
                  <w:rFonts w:ascii="Cambria Math" w:hAnsi="Cambria Math"/>
                  <w:color w:val="202124"/>
                  <w:lang w:val="en-US"/>
                </w:rPr>
                <m:t>E</m:t>
              </m:r>
            </m:e>
            <m:sub>
              <m:r>
                <w:rPr>
                  <w:rFonts w:ascii="Cambria Math" w:hAnsi="Cambria Math"/>
                  <w:color w:val="202124"/>
                  <w:lang w:val="en-US"/>
                </w:rPr>
                <m:t>it</m:t>
              </m:r>
            </m:sub>
          </m:sSub>
          <m:r>
            <w:rPr>
              <w:rFonts w:ascii="Cambria Math" w:hAnsi="Cambria Math"/>
              <w:color w:val="202124"/>
              <w:lang w:val="en-US"/>
            </w:rPr>
            <m:t>+</m:t>
          </m:r>
          <m:sSub>
            <m:sSubPr>
              <m:ctrlPr>
                <w:rPr>
                  <w:rFonts w:ascii="Cambria Math" w:hAnsi="Cambria Math"/>
                  <w:i/>
                  <w:color w:val="202124"/>
                  <w:lang w:val="en-US"/>
                </w:rPr>
              </m:ctrlPr>
            </m:sSubPr>
            <m:e>
              <m:r>
                <w:rPr>
                  <w:rFonts w:ascii="Cambria Math" w:hAnsi="Cambria Math"/>
                  <w:color w:val="202124"/>
                  <w:lang w:val="en-US"/>
                </w:rPr>
                <m:t>β</m:t>
              </m:r>
            </m:e>
            <m:sub>
              <m:r>
                <w:rPr>
                  <w:rFonts w:ascii="Cambria Math" w:hAnsi="Cambria Math"/>
                  <w:color w:val="202124"/>
                  <w:lang w:val="en-US"/>
                </w:rPr>
                <m:t>3</m:t>
              </m:r>
            </m:sub>
          </m:sSub>
          <m:sSub>
            <m:sSubPr>
              <m:ctrlPr>
                <w:rPr>
                  <w:rFonts w:ascii="Cambria Math" w:hAnsi="Cambria Math"/>
                  <w:i/>
                  <w:color w:val="202124"/>
                  <w:lang w:val="en-US"/>
                </w:rPr>
              </m:ctrlPr>
            </m:sSubPr>
            <m:e>
              <m:r>
                <w:rPr>
                  <w:rFonts w:ascii="Cambria Math" w:hAnsi="Cambria Math"/>
                  <w:color w:val="202124"/>
                  <w:lang w:val="en-US"/>
                </w:rPr>
                <m:t>IAL</m:t>
              </m:r>
            </m:e>
            <m:sub>
              <m:r>
                <w:rPr>
                  <w:rFonts w:ascii="Cambria Math" w:hAnsi="Cambria Math"/>
                  <w:color w:val="202124"/>
                  <w:lang w:val="en-US"/>
                </w:rPr>
                <m:t>it</m:t>
              </m:r>
            </m:sub>
          </m:sSub>
          <m:r>
            <w:rPr>
              <w:rFonts w:ascii="Cambria Math" w:hAnsi="Cambria Math"/>
              <w:color w:val="202124"/>
              <w:lang w:val="en-US"/>
            </w:rPr>
            <m:t>+</m:t>
          </m:r>
          <m:sSub>
            <m:sSubPr>
              <m:ctrlPr>
                <w:rPr>
                  <w:rFonts w:ascii="Cambria Math" w:hAnsi="Cambria Math"/>
                  <w:i/>
                  <w:color w:val="202124"/>
                  <w:lang w:val="en-US"/>
                </w:rPr>
              </m:ctrlPr>
            </m:sSubPr>
            <m:e>
              <m:r>
                <w:rPr>
                  <w:rFonts w:ascii="Cambria Math" w:hAnsi="Cambria Math"/>
                  <w:color w:val="202124"/>
                  <w:lang w:val="en-US"/>
                </w:rPr>
                <m:t>ε</m:t>
              </m:r>
            </m:e>
            <m:sub>
              <m:r>
                <w:rPr>
                  <w:rFonts w:ascii="Cambria Math" w:hAnsi="Cambria Math"/>
                  <w:color w:val="202124"/>
                  <w:lang w:val="en-US"/>
                </w:rPr>
                <m:t>it</m:t>
              </m:r>
            </m:sub>
          </m:sSub>
        </m:oMath>
      </m:oMathPara>
    </w:p>
    <w:p w14:paraId="69C05670" w14:textId="77777777" w:rsidR="0017466A" w:rsidRPr="0017466A" w:rsidRDefault="0017466A" w:rsidP="001746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en-US"/>
        </w:rPr>
      </w:pPr>
      <w:r w:rsidRPr="0017466A">
        <w:rPr>
          <w:color w:val="202124"/>
          <w:lang w:val="en-US"/>
        </w:rPr>
        <w:t>Keterangan:</w:t>
      </w:r>
    </w:p>
    <w:p w14:paraId="12C0EF5E" w14:textId="7B3E987F" w:rsidR="0017466A" w:rsidRPr="0017466A" w:rsidRDefault="001C1497" w:rsidP="001746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en-US"/>
        </w:rPr>
      </w:pPr>
      <m:oMath>
        <m:sSub>
          <m:sSubPr>
            <m:ctrlPr>
              <w:rPr>
                <w:rFonts w:ascii="Cambria Math" w:hAnsi="Cambria Math"/>
                <w:i/>
                <w:color w:val="202124"/>
                <w:lang w:val="en-US"/>
              </w:rPr>
            </m:ctrlPr>
          </m:sSubPr>
          <m:e>
            <m:r>
              <w:rPr>
                <w:rFonts w:ascii="Cambria Math" w:hAnsi="Cambria Math"/>
                <w:color w:val="202124"/>
                <w:lang w:val="en-US"/>
              </w:rPr>
              <m:t>CD</m:t>
            </m:r>
          </m:e>
          <m:sub>
            <m:r>
              <w:rPr>
                <w:rFonts w:ascii="Cambria Math" w:hAnsi="Cambria Math"/>
                <w:color w:val="202124"/>
                <w:lang w:val="en-US"/>
              </w:rPr>
              <m:t>it</m:t>
            </m:r>
          </m:sub>
        </m:sSub>
      </m:oMath>
      <w:r w:rsidR="0017466A" w:rsidRPr="0017466A">
        <w:rPr>
          <w:color w:val="202124"/>
          <w:lang w:val="en-US"/>
        </w:rPr>
        <w:t xml:space="preserve"> (Y)= Jumlah Cadangan Devisa (Milliar US $) (Variabel Dependen)</w:t>
      </w:r>
    </w:p>
    <w:p w14:paraId="0EAB931D" w14:textId="17673115" w:rsidR="0017466A" w:rsidRPr="0017466A" w:rsidRDefault="0017466A" w:rsidP="001746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en-US"/>
        </w:rPr>
      </w:pPr>
      <m:oMath>
        <m:r>
          <w:rPr>
            <w:rFonts w:ascii="Cambria Math" w:hAnsi="Cambria Math"/>
            <w:color w:val="202124"/>
            <w:lang w:val="en-US"/>
          </w:rPr>
          <m:t>α</m:t>
        </m:r>
      </m:oMath>
      <w:r w:rsidRPr="0017466A">
        <w:rPr>
          <w:color w:val="202124"/>
          <w:lang w:val="en-US"/>
        </w:rPr>
        <w:t xml:space="preserve"> = Konstanta</w:t>
      </w:r>
    </w:p>
    <w:p w14:paraId="67376838" w14:textId="55AF3FF0" w:rsidR="0017466A" w:rsidRPr="0017466A" w:rsidRDefault="001C1497" w:rsidP="001746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en-US"/>
        </w:rPr>
      </w:pPr>
      <m:oMath>
        <m:sSub>
          <m:sSubPr>
            <m:ctrlPr>
              <w:rPr>
                <w:rFonts w:ascii="Cambria Math" w:hAnsi="Cambria Math"/>
                <w:i/>
                <w:color w:val="202124"/>
                <w:lang w:val="en-US"/>
              </w:rPr>
            </m:ctrlPr>
          </m:sSubPr>
          <m:e>
            <m:r>
              <w:rPr>
                <w:rFonts w:ascii="Cambria Math" w:hAnsi="Cambria Math"/>
                <w:color w:val="202124"/>
                <w:lang w:val="en-US"/>
              </w:rPr>
              <m:t>β</m:t>
            </m:r>
          </m:e>
          <m:sub>
            <m:r>
              <w:rPr>
                <w:rFonts w:ascii="Cambria Math" w:hAnsi="Cambria Math"/>
                <w:color w:val="202124"/>
                <w:lang w:val="en-US"/>
              </w:rPr>
              <m:t>1</m:t>
            </m:r>
          </m:sub>
        </m:sSub>
        <m:sSub>
          <m:sSubPr>
            <m:ctrlPr>
              <w:rPr>
                <w:rFonts w:ascii="Cambria Math" w:hAnsi="Cambria Math"/>
                <w:i/>
                <w:color w:val="202124"/>
                <w:lang w:val="en-US"/>
              </w:rPr>
            </m:ctrlPr>
          </m:sSubPr>
          <m:e>
            <m:r>
              <w:rPr>
                <w:rFonts w:ascii="Cambria Math" w:hAnsi="Cambria Math"/>
                <w:color w:val="202124"/>
                <w:lang w:val="en-US"/>
              </w:rPr>
              <m:t>R</m:t>
            </m:r>
          </m:e>
          <m:sub>
            <m:r>
              <w:rPr>
                <w:rFonts w:ascii="Cambria Math" w:hAnsi="Cambria Math"/>
                <w:color w:val="202124"/>
                <w:lang w:val="en-US"/>
              </w:rPr>
              <m:t>it</m:t>
            </m:r>
          </m:sub>
        </m:sSub>
      </m:oMath>
      <w:r w:rsidR="0017466A" w:rsidRPr="0017466A">
        <w:rPr>
          <w:color w:val="202124"/>
          <w:lang w:val="en-US"/>
        </w:rPr>
        <w:t xml:space="preserve"> </w:t>
      </w:r>
      <m:oMath>
        <m:r>
          <w:rPr>
            <w:rFonts w:ascii="Cambria Math" w:hAnsi="Cambria Math"/>
            <w:color w:val="202124"/>
            <w:lang w:val="en-US"/>
          </w:rPr>
          <m:t>(</m:t>
        </m:r>
        <m:sSub>
          <m:sSubPr>
            <m:ctrlPr>
              <w:rPr>
                <w:rFonts w:ascii="Cambria Math" w:hAnsi="Cambria Math"/>
                <w:i/>
                <w:color w:val="202124"/>
                <w:lang w:val="en-US"/>
              </w:rPr>
            </m:ctrlPr>
          </m:sSubPr>
          <m:e>
            <m:r>
              <w:rPr>
                <w:rFonts w:ascii="Cambria Math" w:hAnsi="Cambria Math"/>
                <w:color w:val="202124"/>
                <w:lang w:val="en-US"/>
              </w:rPr>
              <m:t>X</m:t>
            </m:r>
          </m:e>
          <m:sub>
            <m:r>
              <w:rPr>
                <w:rFonts w:ascii="Cambria Math" w:hAnsi="Cambria Math"/>
                <w:color w:val="202124"/>
                <w:lang w:val="en-US"/>
              </w:rPr>
              <m:t>1</m:t>
            </m:r>
          </m:sub>
        </m:sSub>
        <m:r>
          <w:rPr>
            <w:rFonts w:ascii="Cambria Math" w:hAnsi="Cambria Math"/>
            <w:color w:val="202124"/>
            <w:lang w:val="en-US"/>
          </w:rPr>
          <m:t>)</m:t>
        </m:r>
      </m:oMath>
      <w:r w:rsidR="0017466A" w:rsidRPr="0017466A">
        <w:rPr>
          <w:color w:val="202124"/>
          <w:lang w:val="en-US"/>
        </w:rPr>
        <w:t xml:space="preserve"> = Jumlah Remitansi (Milliar US $) (Variabel Independen 1)</w:t>
      </w:r>
    </w:p>
    <w:p w14:paraId="53A61E62" w14:textId="41BE94F4" w:rsidR="0017466A" w:rsidRPr="0017466A" w:rsidRDefault="001C1497" w:rsidP="001746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en-US"/>
        </w:rPr>
      </w:pPr>
      <m:oMath>
        <m:sSub>
          <m:sSubPr>
            <m:ctrlPr>
              <w:rPr>
                <w:rFonts w:ascii="Cambria Math" w:hAnsi="Cambria Math"/>
                <w:i/>
                <w:color w:val="202124"/>
                <w:lang w:val="en-US"/>
              </w:rPr>
            </m:ctrlPr>
          </m:sSubPr>
          <m:e>
            <m:r>
              <w:rPr>
                <w:rFonts w:ascii="Cambria Math" w:hAnsi="Cambria Math"/>
                <w:color w:val="202124"/>
                <w:lang w:val="en-US"/>
              </w:rPr>
              <m:t>β</m:t>
            </m:r>
          </m:e>
          <m:sub>
            <m:r>
              <w:rPr>
                <w:rFonts w:ascii="Cambria Math" w:hAnsi="Cambria Math"/>
                <w:color w:val="202124"/>
                <w:lang w:val="en-US"/>
              </w:rPr>
              <m:t>2</m:t>
            </m:r>
          </m:sub>
        </m:sSub>
        <m:sSub>
          <m:sSubPr>
            <m:ctrlPr>
              <w:rPr>
                <w:rFonts w:ascii="Cambria Math" w:hAnsi="Cambria Math"/>
                <w:i/>
                <w:color w:val="202124"/>
                <w:lang w:val="en-US"/>
              </w:rPr>
            </m:ctrlPr>
          </m:sSubPr>
          <m:e>
            <m:r>
              <w:rPr>
                <w:rFonts w:ascii="Cambria Math" w:hAnsi="Cambria Math"/>
                <w:color w:val="202124"/>
                <w:lang w:val="en-US"/>
              </w:rPr>
              <m:t>E</m:t>
            </m:r>
          </m:e>
          <m:sub>
            <m:r>
              <w:rPr>
                <w:rFonts w:ascii="Cambria Math" w:hAnsi="Cambria Math"/>
                <w:color w:val="202124"/>
                <w:lang w:val="en-US"/>
              </w:rPr>
              <m:t>it</m:t>
            </m:r>
          </m:sub>
        </m:sSub>
        <m:r>
          <w:rPr>
            <w:rFonts w:ascii="Cambria Math" w:hAnsi="Cambria Math"/>
            <w:color w:val="202124"/>
            <w:lang w:val="en-US"/>
          </w:rPr>
          <m:t>(</m:t>
        </m:r>
        <m:sSub>
          <m:sSubPr>
            <m:ctrlPr>
              <w:rPr>
                <w:rFonts w:ascii="Cambria Math" w:hAnsi="Cambria Math"/>
                <w:i/>
                <w:color w:val="202124"/>
                <w:lang w:val="en-US"/>
              </w:rPr>
            </m:ctrlPr>
          </m:sSubPr>
          <m:e>
            <m:r>
              <w:rPr>
                <w:rFonts w:ascii="Cambria Math" w:hAnsi="Cambria Math"/>
                <w:color w:val="202124"/>
                <w:lang w:val="en-US"/>
              </w:rPr>
              <m:t>X</m:t>
            </m:r>
          </m:e>
          <m:sub>
            <m:r>
              <w:rPr>
                <w:rFonts w:ascii="Cambria Math" w:hAnsi="Cambria Math"/>
                <w:color w:val="202124"/>
                <w:lang w:val="en-US"/>
              </w:rPr>
              <m:t>2</m:t>
            </m:r>
          </m:sub>
        </m:sSub>
        <m:r>
          <w:rPr>
            <w:rFonts w:ascii="Cambria Math" w:hAnsi="Cambria Math"/>
            <w:color w:val="202124"/>
            <w:lang w:val="en-US"/>
          </w:rPr>
          <m:t>)</m:t>
        </m:r>
      </m:oMath>
      <w:r w:rsidR="0017466A" w:rsidRPr="0017466A">
        <w:rPr>
          <w:color w:val="202124"/>
          <w:lang w:val="en-US"/>
        </w:rPr>
        <w:t xml:space="preserve"> = Jumlah Ekspor (Milliar US $) (Variabel Independen 2)</w:t>
      </w:r>
    </w:p>
    <w:p w14:paraId="26E880FA" w14:textId="6E97FAB8" w:rsidR="0017466A" w:rsidRPr="0017466A" w:rsidRDefault="001C1497" w:rsidP="001746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en-US"/>
        </w:rPr>
      </w:pPr>
      <m:oMath>
        <m:sSub>
          <m:sSubPr>
            <m:ctrlPr>
              <w:rPr>
                <w:rFonts w:ascii="Cambria Math" w:hAnsi="Cambria Math"/>
                <w:i/>
                <w:color w:val="202124"/>
                <w:lang w:val="en-US"/>
              </w:rPr>
            </m:ctrlPr>
          </m:sSubPr>
          <m:e>
            <m:r>
              <w:rPr>
                <w:rFonts w:ascii="Cambria Math" w:hAnsi="Cambria Math"/>
                <w:color w:val="202124"/>
                <w:lang w:val="en-US"/>
              </w:rPr>
              <m:t>β</m:t>
            </m:r>
          </m:e>
          <m:sub>
            <m:r>
              <w:rPr>
                <w:rFonts w:ascii="Cambria Math" w:hAnsi="Cambria Math"/>
                <w:color w:val="202124"/>
                <w:lang w:val="en-US"/>
              </w:rPr>
              <m:t>3</m:t>
            </m:r>
          </m:sub>
        </m:sSub>
        <m:sSub>
          <m:sSubPr>
            <m:ctrlPr>
              <w:rPr>
                <w:rFonts w:ascii="Cambria Math" w:hAnsi="Cambria Math"/>
                <w:i/>
                <w:color w:val="202124"/>
                <w:lang w:val="en-US"/>
              </w:rPr>
            </m:ctrlPr>
          </m:sSubPr>
          <m:e>
            <m:r>
              <w:rPr>
                <w:rFonts w:ascii="Cambria Math" w:hAnsi="Cambria Math"/>
                <w:color w:val="202124"/>
                <w:lang w:val="en-US"/>
              </w:rPr>
              <m:t>IAL</m:t>
            </m:r>
          </m:e>
          <m:sub>
            <m:r>
              <w:rPr>
                <w:rFonts w:ascii="Cambria Math" w:hAnsi="Cambria Math"/>
                <w:color w:val="202124"/>
                <w:lang w:val="en-US"/>
              </w:rPr>
              <m:t>it</m:t>
            </m:r>
          </m:sub>
        </m:sSub>
        <m:r>
          <w:rPr>
            <w:rFonts w:ascii="Cambria Math" w:hAnsi="Cambria Math"/>
            <w:color w:val="202124"/>
            <w:lang w:val="en-US"/>
          </w:rPr>
          <m:t>(</m:t>
        </m:r>
        <m:sSub>
          <m:sSubPr>
            <m:ctrlPr>
              <w:rPr>
                <w:rFonts w:ascii="Cambria Math" w:hAnsi="Cambria Math"/>
                <w:i/>
                <w:color w:val="202124"/>
                <w:lang w:val="en-US"/>
              </w:rPr>
            </m:ctrlPr>
          </m:sSubPr>
          <m:e>
            <m:r>
              <w:rPr>
                <w:rFonts w:ascii="Cambria Math" w:hAnsi="Cambria Math"/>
                <w:color w:val="202124"/>
                <w:lang w:val="en-US"/>
              </w:rPr>
              <m:t>X</m:t>
            </m:r>
          </m:e>
          <m:sub>
            <m:r>
              <w:rPr>
                <w:rFonts w:ascii="Cambria Math" w:hAnsi="Cambria Math"/>
                <w:color w:val="202124"/>
                <w:lang w:val="en-US"/>
              </w:rPr>
              <m:t>3</m:t>
            </m:r>
          </m:sub>
        </m:sSub>
        <m:r>
          <w:rPr>
            <w:rFonts w:ascii="Cambria Math" w:hAnsi="Cambria Math"/>
            <w:color w:val="202124"/>
            <w:lang w:val="en-US"/>
          </w:rPr>
          <m:t>)</m:t>
        </m:r>
      </m:oMath>
      <w:r w:rsidR="0017466A" w:rsidRPr="0017466A">
        <w:rPr>
          <w:color w:val="202124"/>
          <w:lang w:val="en-US"/>
        </w:rPr>
        <w:t xml:space="preserve"> = Jumlah Investasi Asing Langsung (Milliar US $) (Variabel Independen 3)</w:t>
      </w:r>
    </w:p>
    <w:p w14:paraId="40A8B576" w14:textId="79ACDCE3" w:rsidR="0017466A" w:rsidRPr="0017466A" w:rsidRDefault="001C1497" w:rsidP="001746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en-US"/>
        </w:rPr>
      </w:pPr>
      <m:oMath>
        <m:sSub>
          <m:sSubPr>
            <m:ctrlPr>
              <w:rPr>
                <w:rFonts w:ascii="Cambria Math" w:hAnsi="Cambria Math"/>
                <w:i/>
                <w:color w:val="202124"/>
                <w:lang w:val="en-US"/>
              </w:rPr>
            </m:ctrlPr>
          </m:sSubPr>
          <m:e>
            <m:r>
              <w:rPr>
                <w:rFonts w:ascii="Cambria Math" w:hAnsi="Cambria Math"/>
                <w:color w:val="202124"/>
                <w:lang w:val="en-US"/>
              </w:rPr>
              <m:t>ε</m:t>
            </m:r>
          </m:e>
          <m:sub>
            <m:r>
              <w:rPr>
                <w:rFonts w:ascii="Cambria Math" w:hAnsi="Cambria Math"/>
                <w:color w:val="202124"/>
                <w:lang w:val="en-US"/>
              </w:rPr>
              <m:t>it</m:t>
            </m:r>
          </m:sub>
        </m:sSub>
      </m:oMath>
      <w:r w:rsidR="0017466A" w:rsidRPr="0017466A">
        <w:rPr>
          <w:color w:val="202124"/>
          <w:lang w:val="en-US"/>
        </w:rPr>
        <w:t xml:space="preserve"> = </w:t>
      </w:r>
      <w:r w:rsidR="0017466A" w:rsidRPr="0017466A">
        <w:rPr>
          <w:i/>
          <w:iCs/>
          <w:color w:val="202124"/>
          <w:lang w:val="en-US"/>
        </w:rPr>
        <w:t>error term</w:t>
      </w:r>
    </w:p>
    <w:p w14:paraId="0CC91FB5" w14:textId="77777777" w:rsidR="002D3CB4" w:rsidRDefault="001C1497">
      <w:pPr>
        <w:spacing w:before="200" w:after="0"/>
        <w:jc w:val="both"/>
      </w:pPr>
      <w:r>
        <w:rPr>
          <w:b/>
        </w:rPr>
        <w:t>HASIL DAN PEMBAHASAN</w:t>
      </w:r>
    </w:p>
    <w:p w14:paraId="1AD21735" w14:textId="0F4A399E" w:rsidR="002D3CB4" w:rsidRPr="007F1B58" w:rsidRDefault="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olor w:val="202124"/>
        </w:rPr>
      </w:pPr>
      <w:r w:rsidRPr="007F1B58">
        <w:rPr>
          <w:b/>
          <w:bCs/>
          <w:color w:val="202124"/>
        </w:rPr>
        <w:t>Hasil</w:t>
      </w:r>
    </w:p>
    <w:p w14:paraId="52E9AAEB" w14:textId="13CB9E22"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color w:val="202124"/>
          <w:lang w:val="en-GB"/>
        </w:rPr>
      </w:pPr>
      <w:bookmarkStart w:id="1" w:name="_Toc71191440"/>
      <w:r w:rsidRPr="007F1B58">
        <w:rPr>
          <w:b/>
          <w:bCs/>
          <w:color w:val="202124"/>
          <w:lang w:val="en-GB"/>
        </w:rPr>
        <w:t>Tabel</w:t>
      </w:r>
      <w:bookmarkEnd w:id="1"/>
      <w:r>
        <w:rPr>
          <w:b/>
          <w:bCs/>
          <w:color w:val="202124"/>
          <w:lang w:val="en-GB"/>
        </w:rPr>
        <w:t xml:space="preserve"> 1 </w:t>
      </w:r>
      <w:r w:rsidRPr="007F1B58">
        <w:rPr>
          <w:b/>
          <w:bCs/>
          <w:color w:val="202124"/>
          <w:lang w:val="en-GB"/>
        </w:rPr>
        <w:t>Hasil Uji Chow dan Uji Hausman</w:t>
      </w:r>
    </w:p>
    <w:tbl>
      <w:tblPr>
        <w:tblStyle w:val="PlainTable2"/>
        <w:tblW w:w="7371" w:type="dxa"/>
        <w:tblInd w:w="567" w:type="dxa"/>
        <w:tblLook w:val="04A0" w:firstRow="1" w:lastRow="0" w:firstColumn="1" w:lastColumn="0" w:noHBand="0" w:noVBand="1"/>
      </w:tblPr>
      <w:tblGrid>
        <w:gridCol w:w="2642"/>
        <w:gridCol w:w="2178"/>
        <w:gridCol w:w="2551"/>
      </w:tblGrid>
      <w:tr w:rsidR="007F1B58" w:rsidRPr="007F1B58" w14:paraId="7A01B912" w14:textId="77777777" w:rsidTr="00191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2" w:type="dxa"/>
          </w:tcPr>
          <w:p w14:paraId="694EE3FE"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en-US"/>
              </w:rPr>
            </w:pPr>
            <w:r w:rsidRPr="007F1B58">
              <w:rPr>
                <w:color w:val="202124"/>
                <w:lang w:val="en-US"/>
              </w:rPr>
              <w:t>Uji</w:t>
            </w:r>
          </w:p>
        </w:tc>
        <w:tc>
          <w:tcPr>
            <w:tcW w:w="2178" w:type="dxa"/>
          </w:tcPr>
          <w:p w14:paraId="128D7353"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color w:val="202124"/>
                <w:lang w:val="en-US"/>
              </w:rPr>
            </w:pPr>
            <w:r w:rsidRPr="007F1B58">
              <w:rPr>
                <w:color w:val="202124"/>
                <w:lang w:val="en-US"/>
              </w:rPr>
              <w:t>Profitabilitas</w:t>
            </w:r>
          </w:p>
        </w:tc>
        <w:tc>
          <w:tcPr>
            <w:tcW w:w="2551" w:type="dxa"/>
          </w:tcPr>
          <w:p w14:paraId="578DE7C8"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color w:val="202124"/>
                <w:lang w:val="en-US"/>
              </w:rPr>
            </w:pPr>
            <w:r w:rsidRPr="007F1B58">
              <w:rPr>
                <w:color w:val="202124"/>
                <w:lang w:val="en-US"/>
              </w:rPr>
              <w:t>Hasil</w:t>
            </w:r>
          </w:p>
        </w:tc>
      </w:tr>
      <w:tr w:rsidR="007F1B58" w:rsidRPr="007F1B58" w14:paraId="2D92E381" w14:textId="77777777" w:rsidTr="00191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2" w:type="dxa"/>
          </w:tcPr>
          <w:p w14:paraId="2F25EA71"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en-US"/>
              </w:rPr>
            </w:pPr>
            <w:r w:rsidRPr="007F1B58">
              <w:rPr>
                <w:color w:val="202124"/>
                <w:lang w:val="en-US"/>
              </w:rPr>
              <w:t>Uji Chow</w:t>
            </w:r>
          </w:p>
        </w:tc>
        <w:tc>
          <w:tcPr>
            <w:tcW w:w="2178" w:type="dxa"/>
          </w:tcPr>
          <w:p w14:paraId="5C9FB11D"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color w:val="202124"/>
                <w:lang w:val="en-US"/>
              </w:rPr>
            </w:pPr>
            <w:r w:rsidRPr="007F1B58">
              <w:rPr>
                <w:color w:val="202124"/>
                <w:lang w:val="en-US"/>
              </w:rPr>
              <w:t>0,0000</w:t>
            </w:r>
          </w:p>
        </w:tc>
        <w:tc>
          <w:tcPr>
            <w:tcW w:w="2551" w:type="dxa"/>
          </w:tcPr>
          <w:p w14:paraId="755A8AFC"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color w:val="202124"/>
                <w:lang w:val="en-US"/>
              </w:rPr>
            </w:pPr>
            <w:r w:rsidRPr="007F1B58">
              <w:rPr>
                <w:color w:val="202124"/>
                <w:lang w:val="en-US"/>
              </w:rPr>
              <w:t>FEM</w:t>
            </w:r>
          </w:p>
        </w:tc>
      </w:tr>
      <w:tr w:rsidR="007F1B58" w:rsidRPr="007F1B58" w14:paraId="44253395" w14:textId="77777777" w:rsidTr="001917F9">
        <w:tc>
          <w:tcPr>
            <w:cnfStyle w:val="001000000000" w:firstRow="0" w:lastRow="0" w:firstColumn="1" w:lastColumn="0" w:oddVBand="0" w:evenVBand="0" w:oddHBand="0" w:evenHBand="0" w:firstRowFirstColumn="0" w:firstRowLastColumn="0" w:lastRowFirstColumn="0" w:lastRowLastColumn="0"/>
            <w:tcW w:w="2642" w:type="dxa"/>
          </w:tcPr>
          <w:p w14:paraId="772E8C60"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en-US"/>
              </w:rPr>
            </w:pPr>
            <w:r w:rsidRPr="007F1B58">
              <w:rPr>
                <w:color w:val="202124"/>
                <w:lang w:val="en-US"/>
              </w:rPr>
              <w:t>Uji Hausman</w:t>
            </w:r>
          </w:p>
        </w:tc>
        <w:tc>
          <w:tcPr>
            <w:tcW w:w="2178" w:type="dxa"/>
          </w:tcPr>
          <w:p w14:paraId="4FCC27C6"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color w:val="202124"/>
                <w:lang w:val="en-US"/>
              </w:rPr>
            </w:pPr>
            <w:r w:rsidRPr="007F1B58">
              <w:rPr>
                <w:color w:val="202124"/>
                <w:lang w:val="en-US"/>
              </w:rPr>
              <w:t>0,0000</w:t>
            </w:r>
          </w:p>
        </w:tc>
        <w:tc>
          <w:tcPr>
            <w:tcW w:w="2551" w:type="dxa"/>
          </w:tcPr>
          <w:p w14:paraId="661EBC28"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color w:val="202124"/>
                <w:lang w:val="en-US"/>
              </w:rPr>
            </w:pPr>
            <w:r w:rsidRPr="007F1B58">
              <w:rPr>
                <w:color w:val="202124"/>
                <w:lang w:val="en-US"/>
              </w:rPr>
              <w:t>FEM</w:t>
            </w:r>
          </w:p>
        </w:tc>
      </w:tr>
    </w:tbl>
    <w:p w14:paraId="6238A7EE"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id-ID"/>
        </w:rPr>
      </w:pPr>
    </w:p>
    <w:p w14:paraId="328F3645"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id-ID"/>
        </w:rPr>
      </w:pPr>
      <w:r w:rsidRPr="007F1B58">
        <w:rPr>
          <w:color w:val="202124"/>
          <w:lang w:val="id-ID"/>
        </w:rPr>
        <w:t xml:space="preserve">Berdasarkan hasil uji Chow yang tertera dalam tabel, nilai probabilitas sebesar 0,0000 lebih kecil dari tingkat signifikansi yang telah ditentukan. Oleh karena itu, model </w:t>
      </w:r>
      <w:r w:rsidRPr="007F1B58">
        <w:rPr>
          <w:i/>
          <w:iCs/>
          <w:color w:val="202124"/>
          <w:lang w:val="id-ID"/>
        </w:rPr>
        <w:t>Fixed Effect Model</w:t>
      </w:r>
      <w:r w:rsidRPr="007F1B58">
        <w:rPr>
          <w:color w:val="202124"/>
          <w:lang w:val="id-ID"/>
        </w:rPr>
        <w:t xml:space="preserve"> (FEM) dipilih sebagai model yang paling sesuai. Selanjutnya, uji Hausman dilakukan dengan hasil probabilitas sebesar 0,0000, yang juga lebih rendah dari 0,05. Ini semakin menguatkan pemilihan model FEM sebagai model yang optimal menurut uji Hausman. Berdasarkan kedua uji tersebut, </w:t>
      </w:r>
      <w:r w:rsidRPr="007F1B58">
        <w:rPr>
          <w:i/>
          <w:iCs/>
          <w:color w:val="202124"/>
          <w:lang w:val="id-ID"/>
        </w:rPr>
        <w:t>Fixed Effect Model</w:t>
      </w:r>
      <w:r w:rsidRPr="007F1B58">
        <w:rPr>
          <w:color w:val="202124"/>
          <w:lang w:val="id-ID"/>
        </w:rPr>
        <w:t xml:space="preserve"> (FEM) ditetapkan sebagai model yang paling sesuai untuk penelitian ini.</w:t>
      </w:r>
    </w:p>
    <w:p w14:paraId="3B21C29E"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en-US"/>
        </w:rPr>
      </w:pPr>
    </w:p>
    <w:p w14:paraId="1934012A"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olor w:val="202124"/>
          <w:lang w:val="en-ID"/>
        </w:rPr>
      </w:pPr>
      <w:bookmarkStart w:id="2" w:name="_Toc209087197"/>
      <w:r w:rsidRPr="007F1B58">
        <w:rPr>
          <w:b/>
          <w:bCs/>
          <w:color w:val="202124"/>
          <w:lang w:val="en-ID"/>
        </w:rPr>
        <w:t>Pemilihan Model Regresi Data Panel</w:t>
      </w:r>
      <w:bookmarkEnd w:id="2"/>
    </w:p>
    <w:p w14:paraId="7B1D72F5"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id-ID"/>
        </w:rPr>
      </w:pPr>
      <w:r w:rsidRPr="007F1B58">
        <w:rPr>
          <w:i/>
          <w:iCs/>
          <w:color w:val="202124"/>
          <w:lang w:val="id-ID"/>
        </w:rPr>
        <w:t>Fixed Effect Model</w:t>
      </w:r>
      <w:r w:rsidRPr="007F1B58">
        <w:rPr>
          <w:color w:val="202124"/>
          <w:lang w:val="id-ID"/>
        </w:rPr>
        <w:t xml:space="preserve"> (FEM) adalah model regresi data panel yang terpilih untuk dilakukan analisis. Berikut ini merupakan hasil estimasi dari regresi data panel:</w:t>
      </w:r>
    </w:p>
    <w:p w14:paraId="53239997" w14:textId="53EEC72F"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color w:val="202124"/>
          <w:lang w:val="en-US"/>
        </w:rPr>
      </w:pPr>
      <w:r w:rsidRPr="007F1B58">
        <w:rPr>
          <w:b/>
          <w:bCs/>
          <w:color w:val="202124"/>
          <w:lang w:val="en-US"/>
        </w:rPr>
        <w:t>Tabel</w:t>
      </w:r>
      <w:r>
        <w:rPr>
          <w:b/>
          <w:bCs/>
          <w:color w:val="202124"/>
          <w:lang w:val="en-US"/>
        </w:rPr>
        <w:t xml:space="preserve"> 2 </w:t>
      </w:r>
      <w:r w:rsidRPr="007F1B58">
        <w:rPr>
          <w:b/>
          <w:bCs/>
          <w:color w:val="202124"/>
          <w:lang w:val="en-US"/>
        </w:rPr>
        <w:t>Hasil Regresi Data Panel</w:t>
      </w:r>
    </w:p>
    <w:tbl>
      <w:tblPr>
        <w:tblStyle w:val="TableGrid"/>
        <w:tblW w:w="0" w:type="auto"/>
        <w:tblInd w:w="567" w:type="dxa"/>
        <w:tblLook w:val="04A0" w:firstRow="1" w:lastRow="0" w:firstColumn="1" w:lastColumn="0" w:noHBand="0" w:noVBand="1"/>
      </w:tblPr>
      <w:tblGrid>
        <w:gridCol w:w="1471"/>
        <w:gridCol w:w="1471"/>
        <w:gridCol w:w="1473"/>
        <w:gridCol w:w="1473"/>
        <w:gridCol w:w="1473"/>
      </w:tblGrid>
      <w:tr w:rsidR="007F1B58" w:rsidRPr="007F1B58" w14:paraId="49C25AFC" w14:textId="77777777" w:rsidTr="001917F9">
        <w:tc>
          <w:tcPr>
            <w:tcW w:w="1471" w:type="dxa"/>
          </w:tcPr>
          <w:p w14:paraId="17C80522"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olor w:val="202124"/>
              </w:rPr>
            </w:pPr>
            <w:r w:rsidRPr="007F1B58">
              <w:rPr>
                <w:b/>
                <w:bCs/>
                <w:color w:val="202124"/>
              </w:rPr>
              <w:t>Variabel</w:t>
            </w:r>
          </w:p>
        </w:tc>
        <w:tc>
          <w:tcPr>
            <w:tcW w:w="1471" w:type="dxa"/>
          </w:tcPr>
          <w:p w14:paraId="6F79A391"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olor w:val="202124"/>
              </w:rPr>
            </w:pPr>
            <w:r w:rsidRPr="007F1B58">
              <w:rPr>
                <w:b/>
                <w:bCs/>
                <w:color w:val="202124"/>
              </w:rPr>
              <w:t>Koefisien</w:t>
            </w:r>
          </w:p>
        </w:tc>
        <w:tc>
          <w:tcPr>
            <w:tcW w:w="1473" w:type="dxa"/>
          </w:tcPr>
          <w:p w14:paraId="2884F70D"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olor w:val="202124"/>
              </w:rPr>
            </w:pPr>
            <w:r w:rsidRPr="007F1B58">
              <w:rPr>
                <w:b/>
                <w:bCs/>
                <w:color w:val="202124"/>
              </w:rPr>
              <w:t>Std. Error</w:t>
            </w:r>
          </w:p>
        </w:tc>
        <w:tc>
          <w:tcPr>
            <w:tcW w:w="1473" w:type="dxa"/>
          </w:tcPr>
          <w:p w14:paraId="10066D7D"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olor w:val="202124"/>
              </w:rPr>
            </w:pPr>
            <w:r w:rsidRPr="007F1B58">
              <w:rPr>
                <w:b/>
                <w:bCs/>
                <w:color w:val="202124"/>
              </w:rPr>
              <w:t>t-statistic</w:t>
            </w:r>
          </w:p>
        </w:tc>
        <w:tc>
          <w:tcPr>
            <w:tcW w:w="1473" w:type="dxa"/>
          </w:tcPr>
          <w:p w14:paraId="61A31DFD"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olor w:val="202124"/>
              </w:rPr>
            </w:pPr>
            <w:r w:rsidRPr="007F1B58">
              <w:rPr>
                <w:b/>
                <w:bCs/>
                <w:color w:val="202124"/>
              </w:rPr>
              <w:t>Probabilitas</w:t>
            </w:r>
          </w:p>
        </w:tc>
      </w:tr>
      <w:tr w:rsidR="007F1B58" w:rsidRPr="007F1B58" w14:paraId="774F2457" w14:textId="77777777" w:rsidTr="001917F9">
        <w:tc>
          <w:tcPr>
            <w:tcW w:w="1471" w:type="dxa"/>
          </w:tcPr>
          <w:p w14:paraId="40295ADA"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C</w:t>
            </w:r>
          </w:p>
        </w:tc>
        <w:tc>
          <w:tcPr>
            <w:tcW w:w="1471" w:type="dxa"/>
          </w:tcPr>
          <w:p w14:paraId="0D8F26DA"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 xml:space="preserve">6,03E+11 </w:t>
            </w:r>
          </w:p>
        </w:tc>
        <w:tc>
          <w:tcPr>
            <w:tcW w:w="1473" w:type="dxa"/>
          </w:tcPr>
          <w:p w14:paraId="47D241E0"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 xml:space="preserve">5,79E+10 </w:t>
            </w:r>
          </w:p>
        </w:tc>
        <w:tc>
          <w:tcPr>
            <w:tcW w:w="1473" w:type="dxa"/>
          </w:tcPr>
          <w:p w14:paraId="68360F8E"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 xml:space="preserve">10,42087 </w:t>
            </w:r>
          </w:p>
        </w:tc>
        <w:tc>
          <w:tcPr>
            <w:tcW w:w="1473" w:type="dxa"/>
          </w:tcPr>
          <w:p w14:paraId="7CFFAAFA"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0,0000</w:t>
            </w:r>
          </w:p>
        </w:tc>
      </w:tr>
      <w:tr w:rsidR="007F1B58" w:rsidRPr="007F1B58" w14:paraId="35AA697A" w14:textId="77777777" w:rsidTr="001917F9">
        <w:tc>
          <w:tcPr>
            <w:tcW w:w="1471" w:type="dxa"/>
          </w:tcPr>
          <w:p w14:paraId="3232109F"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R</w:t>
            </w:r>
          </w:p>
        </w:tc>
        <w:tc>
          <w:tcPr>
            <w:tcW w:w="1471" w:type="dxa"/>
          </w:tcPr>
          <w:p w14:paraId="45B476B5"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7.653131</w:t>
            </w:r>
          </w:p>
        </w:tc>
        <w:tc>
          <w:tcPr>
            <w:tcW w:w="1473" w:type="dxa"/>
          </w:tcPr>
          <w:p w14:paraId="373ADA84"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1.859144</w:t>
            </w:r>
          </w:p>
        </w:tc>
        <w:tc>
          <w:tcPr>
            <w:tcW w:w="1473" w:type="dxa"/>
          </w:tcPr>
          <w:p w14:paraId="67DDCED8"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4.116481</w:t>
            </w:r>
          </w:p>
        </w:tc>
        <w:tc>
          <w:tcPr>
            <w:tcW w:w="1473" w:type="dxa"/>
          </w:tcPr>
          <w:p w14:paraId="43552CF4"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0.0001</w:t>
            </w:r>
          </w:p>
        </w:tc>
      </w:tr>
      <w:tr w:rsidR="007F1B58" w:rsidRPr="007F1B58" w14:paraId="59E0006F" w14:textId="77777777" w:rsidTr="001917F9">
        <w:tc>
          <w:tcPr>
            <w:tcW w:w="1471" w:type="dxa"/>
          </w:tcPr>
          <w:p w14:paraId="659D492E"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E</w:t>
            </w:r>
          </w:p>
        </w:tc>
        <w:tc>
          <w:tcPr>
            <w:tcW w:w="1471" w:type="dxa"/>
          </w:tcPr>
          <w:p w14:paraId="5E0D5E13"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0.470610</w:t>
            </w:r>
          </w:p>
        </w:tc>
        <w:tc>
          <w:tcPr>
            <w:tcW w:w="1473" w:type="dxa"/>
          </w:tcPr>
          <w:p w14:paraId="41DEDC1D"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0.262488</w:t>
            </w:r>
          </w:p>
        </w:tc>
        <w:tc>
          <w:tcPr>
            <w:tcW w:w="1473" w:type="dxa"/>
          </w:tcPr>
          <w:p w14:paraId="1DAF1CE1"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1.792881</w:t>
            </w:r>
          </w:p>
        </w:tc>
        <w:tc>
          <w:tcPr>
            <w:tcW w:w="1473" w:type="dxa"/>
          </w:tcPr>
          <w:p w14:paraId="61F39D22"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0.0775</w:t>
            </w:r>
          </w:p>
        </w:tc>
      </w:tr>
      <w:tr w:rsidR="007F1B58" w:rsidRPr="007F1B58" w14:paraId="0B01341E" w14:textId="77777777" w:rsidTr="001917F9">
        <w:tc>
          <w:tcPr>
            <w:tcW w:w="1471" w:type="dxa"/>
          </w:tcPr>
          <w:p w14:paraId="017D8F6D"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IAL</w:t>
            </w:r>
          </w:p>
        </w:tc>
        <w:tc>
          <w:tcPr>
            <w:tcW w:w="1471" w:type="dxa"/>
          </w:tcPr>
          <w:p w14:paraId="48F3E7B1"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1.665032</w:t>
            </w:r>
          </w:p>
        </w:tc>
        <w:tc>
          <w:tcPr>
            <w:tcW w:w="1473" w:type="dxa"/>
          </w:tcPr>
          <w:p w14:paraId="500C59C0"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0.467960</w:t>
            </w:r>
          </w:p>
        </w:tc>
        <w:tc>
          <w:tcPr>
            <w:tcW w:w="1473" w:type="dxa"/>
          </w:tcPr>
          <w:p w14:paraId="04DC0800"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3.558066</w:t>
            </w:r>
          </w:p>
        </w:tc>
        <w:tc>
          <w:tcPr>
            <w:tcW w:w="1473" w:type="dxa"/>
          </w:tcPr>
          <w:p w14:paraId="082B9509"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F1B58">
              <w:rPr>
                <w:color w:val="202124"/>
              </w:rPr>
              <w:t>0.0007</w:t>
            </w:r>
          </w:p>
        </w:tc>
      </w:tr>
    </w:tbl>
    <w:p w14:paraId="48391F11"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id-ID"/>
        </w:rPr>
      </w:pPr>
    </w:p>
    <w:p w14:paraId="5269A38B"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id-ID"/>
        </w:rPr>
      </w:pPr>
      <w:r w:rsidRPr="007F1B58">
        <w:rPr>
          <w:color w:val="202124"/>
          <w:lang w:val="id-ID"/>
        </w:rPr>
        <w:t>Berdasarkan pada tabel, dapat dilihat persamaan regresi data panel pada penelitian ini adalah sebagai berikut:</w:t>
      </w:r>
    </w:p>
    <w:p w14:paraId="39B3F991"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id-ID"/>
        </w:rPr>
      </w:pPr>
      <w:r w:rsidRPr="007F1B58">
        <w:rPr>
          <w:color w:val="202124"/>
          <w:lang w:val="id-ID"/>
        </w:rPr>
        <w:t>CD = 6,03 + 7,65*R + 0,47*E + 1,67*IAL</w:t>
      </w:r>
    </w:p>
    <w:p w14:paraId="487A02FF"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id-ID"/>
        </w:rPr>
      </w:pPr>
      <w:r w:rsidRPr="007F1B58">
        <w:rPr>
          <w:color w:val="202124"/>
          <w:lang w:val="id-ID"/>
        </w:rPr>
        <w:t>Berdasarkan hasil persamaan regresi yang diperoleh, pengaruh masing-masing variabel bebas terhadap variabel terikat dapat dijelaskan sebagai berikut:</w:t>
      </w:r>
    </w:p>
    <w:p w14:paraId="0BD1C9E1" w14:textId="77777777" w:rsidR="007F1B58" w:rsidRPr="007F1B58" w:rsidRDefault="007F1B58" w:rsidP="007F1B58">
      <w:pPr>
        <w:numPr>
          <w:ilvl w:val="0"/>
          <w:numId w:val="5"/>
        </w:numPr>
        <w:pBdr>
          <w:top w:val="nil"/>
          <w:left w:val="nil"/>
          <w:bottom w:val="nil"/>
          <w:right w:val="nil"/>
          <w:between w:val="nil"/>
        </w:pBdr>
        <w:tabs>
          <w:tab w:val="left" w:pos="426"/>
          <w:tab w:val="left" w:pos="9160"/>
          <w:tab w:val="left" w:pos="10076"/>
          <w:tab w:val="left" w:pos="10992"/>
          <w:tab w:val="left" w:pos="11908"/>
          <w:tab w:val="left" w:pos="12824"/>
          <w:tab w:val="left" w:pos="13740"/>
          <w:tab w:val="left" w:pos="14656"/>
        </w:tabs>
        <w:spacing w:after="0" w:line="240" w:lineRule="auto"/>
        <w:ind w:left="426"/>
        <w:jc w:val="both"/>
        <w:rPr>
          <w:color w:val="202124"/>
          <w:lang w:val="id-ID"/>
        </w:rPr>
      </w:pPr>
      <w:r w:rsidRPr="007F1B58">
        <w:rPr>
          <w:color w:val="202124"/>
          <w:lang w:val="id-ID"/>
        </w:rPr>
        <w:lastRenderedPageBreak/>
        <w:t>Konstanta (C): Nilai konstanta sebesar 6,03 menunjukkan bahwa jika semua variabel bebas (Remitansi, Ekspor, dan Investasi Asing Langsung) bernilai 0, maka cadangan devisa akan berada pada tingkat 6,03%.</w:t>
      </w:r>
    </w:p>
    <w:p w14:paraId="0A3A7D08" w14:textId="77777777" w:rsidR="007F1B58" w:rsidRPr="007F1B58" w:rsidRDefault="007F1B58" w:rsidP="007F1B58">
      <w:pPr>
        <w:numPr>
          <w:ilvl w:val="0"/>
          <w:numId w:val="5"/>
        </w:numPr>
        <w:pBdr>
          <w:top w:val="nil"/>
          <w:left w:val="nil"/>
          <w:bottom w:val="nil"/>
          <w:right w:val="nil"/>
          <w:between w:val="nil"/>
        </w:pBdr>
        <w:tabs>
          <w:tab w:val="left" w:pos="426"/>
          <w:tab w:val="left" w:pos="9160"/>
          <w:tab w:val="left" w:pos="10076"/>
          <w:tab w:val="left" w:pos="10992"/>
          <w:tab w:val="left" w:pos="11908"/>
          <w:tab w:val="left" w:pos="12824"/>
          <w:tab w:val="left" w:pos="13740"/>
          <w:tab w:val="left" w:pos="14656"/>
        </w:tabs>
        <w:spacing w:after="0" w:line="240" w:lineRule="auto"/>
        <w:ind w:left="426"/>
        <w:jc w:val="both"/>
        <w:rPr>
          <w:color w:val="202124"/>
          <w:lang w:val="id-ID"/>
        </w:rPr>
      </w:pPr>
      <w:r w:rsidRPr="007F1B58">
        <w:rPr>
          <w:color w:val="202124"/>
          <w:lang w:val="id-ID"/>
        </w:rPr>
        <w:t>Pengaruh Remitansi (R): Variabel remitansi memberikan dampak positif terhadap cadangan devisa dengan koefisien 7,653131. Artinya, setiap kenaikan remitansi sebesar 1% akan menyebabkan peningkatan cadangan devisa sebesar 7,65%.</w:t>
      </w:r>
    </w:p>
    <w:p w14:paraId="00DB498B" w14:textId="77777777" w:rsidR="007F1B58" w:rsidRPr="007F1B58" w:rsidRDefault="007F1B58" w:rsidP="007F1B58">
      <w:pPr>
        <w:numPr>
          <w:ilvl w:val="0"/>
          <w:numId w:val="5"/>
        </w:numPr>
        <w:pBdr>
          <w:top w:val="nil"/>
          <w:left w:val="nil"/>
          <w:bottom w:val="nil"/>
          <w:right w:val="nil"/>
          <w:between w:val="nil"/>
        </w:pBdr>
        <w:tabs>
          <w:tab w:val="left" w:pos="426"/>
          <w:tab w:val="left" w:pos="9160"/>
          <w:tab w:val="left" w:pos="10076"/>
          <w:tab w:val="left" w:pos="10992"/>
          <w:tab w:val="left" w:pos="11908"/>
          <w:tab w:val="left" w:pos="12824"/>
          <w:tab w:val="left" w:pos="13740"/>
          <w:tab w:val="left" w:pos="14656"/>
        </w:tabs>
        <w:spacing w:after="0" w:line="240" w:lineRule="auto"/>
        <w:ind w:left="426"/>
        <w:jc w:val="both"/>
        <w:rPr>
          <w:color w:val="202124"/>
          <w:lang w:val="id-ID"/>
        </w:rPr>
      </w:pPr>
      <w:r w:rsidRPr="007F1B58">
        <w:rPr>
          <w:color w:val="202124"/>
          <w:lang w:val="id-ID"/>
        </w:rPr>
        <w:t>Pengaruh Ekspor (E): Variabel ekspor juga mempengaruhi secara positif cadangan devisa, dengan koefisien sebesar 0,470610. Ini berarti setiap kenaikan ekspor sebesar 1% akan berkontribusi meningkatkan cadangan devisa sebesar 0,47%.</w:t>
      </w:r>
    </w:p>
    <w:p w14:paraId="77A0FE5C" w14:textId="77777777" w:rsidR="007F1B58" w:rsidRPr="007F1B58" w:rsidRDefault="007F1B58" w:rsidP="007F1B58">
      <w:pPr>
        <w:numPr>
          <w:ilvl w:val="0"/>
          <w:numId w:val="5"/>
        </w:numPr>
        <w:pBdr>
          <w:top w:val="nil"/>
          <w:left w:val="nil"/>
          <w:bottom w:val="nil"/>
          <w:right w:val="nil"/>
          <w:between w:val="nil"/>
        </w:pBdr>
        <w:tabs>
          <w:tab w:val="left" w:pos="426"/>
          <w:tab w:val="left" w:pos="9160"/>
          <w:tab w:val="left" w:pos="10076"/>
          <w:tab w:val="left" w:pos="10992"/>
          <w:tab w:val="left" w:pos="11908"/>
          <w:tab w:val="left" w:pos="12824"/>
          <w:tab w:val="left" w:pos="13740"/>
          <w:tab w:val="left" w:pos="14656"/>
        </w:tabs>
        <w:spacing w:after="0" w:line="240" w:lineRule="auto"/>
        <w:ind w:left="426"/>
        <w:jc w:val="both"/>
        <w:rPr>
          <w:color w:val="202124"/>
          <w:lang w:val="id-ID"/>
        </w:rPr>
      </w:pPr>
      <w:r w:rsidRPr="007F1B58">
        <w:rPr>
          <w:color w:val="202124"/>
          <w:lang w:val="id-ID"/>
        </w:rPr>
        <w:t>Pengaruh Investasi Asing Langsung (IAL): Variabel investasi asing langsung berdampak positif terhadap cadangan devisa, dengan koefisien sebesar 1,665032. Hal ini berarti bahwa setiap peningkatan investasi asing langsung sebesar 1% akan mengarah pada kenaikan cadangan devisa sebesar 1,67%.</w:t>
      </w:r>
    </w:p>
    <w:p w14:paraId="764AF758"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olor w:val="202124"/>
          <w:lang w:val="en-ID"/>
        </w:rPr>
      </w:pPr>
      <w:bookmarkStart w:id="3" w:name="_Toc209087198"/>
      <w:r w:rsidRPr="007F1B58">
        <w:rPr>
          <w:b/>
          <w:bCs/>
          <w:color w:val="202124"/>
          <w:lang w:val="en-ID"/>
        </w:rPr>
        <w:t>Hasil Uji Hipotesis</w:t>
      </w:r>
      <w:bookmarkEnd w:id="3"/>
    </w:p>
    <w:p w14:paraId="5A46B936" w14:textId="66D67298"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color w:val="202124"/>
          <w:lang w:val="en-US"/>
        </w:rPr>
      </w:pPr>
      <w:r w:rsidRPr="007F1B58">
        <w:rPr>
          <w:b/>
          <w:bCs/>
          <w:color w:val="202124"/>
          <w:lang w:val="en-US"/>
        </w:rPr>
        <w:t>Tabel 3</w:t>
      </w:r>
      <w:r>
        <w:rPr>
          <w:b/>
          <w:bCs/>
          <w:color w:val="202124"/>
          <w:lang w:val="en-US"/>
        </w:rPr>
        <w:t xml:space="preserve"> </w:t>
      </w:r>
      <w:r w:rsidRPr="007F1B58">
        <w:rPr>
          <w:b/>
          <w:bCs/>
          <w:color w:val="202124"/>
          <w:lang w:val="en-US"/>
        </w:rPr>
        <w:t>Hasil Uji t</w:t>
      </w:r>
    </w:p>
    <w:tbl>
      <w:tblPr>
        <w:tblStyle w:val="PlainTable2"/>
        <w:tblW w:w="8505" w:type="dxa"/>
        <w:tblInd w:w="709" w:type="dxa"/>
        <w:tblLook w:val="04A0" w:firstRow="1" w:lastRow="0" w:firstColumn="1" w:lastColumn="0" w:noHBand="0" w:noVBand="1"/>
      </w:tblPr>
      <w:tblGrid>
        <w:gridCol w:w="2977"/>
        <w:gridCol w:w="1276"/>
        <w:gridCol w:w="1559"/>
        <w:gridCol w:w="2693"/>
      </w:tblGrid>
      <w:tr w:rsidR="007F1B58" w:rsidRPr="007F1B58" w14:paraId="78EEDAF0" w14:textId="77777777" w:rsidTr="007F1B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63C312B"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en-US"/>
              </w:rPr>
            </w:pPr>
            <w:r w:rsidRPr="007F1B58">
              <w:rPr>
                <w:color w:val="202124"/>
                <w:lang w:val="id-ID"/>
              </w:rPr>
              <w:t>Variabel</w:t>
            </w:r>
          </w:p>
        </w:tc>
        <w:tc>
          <w:tcPr>
            <w:tcW w:w="1276" w:type="dxa"/>
          </w:tcPr>
          <w:p w14:paraId="2E3735AF"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color w:val="202124"/>
                <w:lang w:val="en-US"/>
              </w:rPr>
            </w:pPr>
            <w:r w:rsidRPr="007F1B58">
              <w:rPr>
                <w:color w:val="202124"/>
                <w:lang w:val="id-ID"/>
              </w:rPr>
              <w:t>t-statistik</w:t>
            </w:r>
          </w:p>
        </w:tc>
        <w:tc>
          <w:tcPr>
            <w:tcW w:w="1559" w:type="dxa"/>
          </w:tcPr>
          <w:p w14:paraId="1713461B"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color w:val="202124"/>
                <w:lang w:val="en-US"/>
              </w:rPr>
            </w:pPr>
            <w:r w:rsidRPr="007F1B58">
              <w:rPr>
                <w:color w:val="202124"/>
                <w:lang w:val="id-ID"/>
              </w:rPr>
              <w:t>Probabilitas</w:t>
            </w:r>
          </w:p>
        </w:tc>
        <w:tc>
          <w:tcPr>
            <w:tcW w:w="2693" w:type="dxa"/>
          </w:tcPr>
          <w:p w14:paraId="597530E1"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color w:val="202124"/>
                <w:lang w:val="id-ID"/>
              </w:rPr>
            </w:pPr>
            <w:r w:rsidRPr="007F1B58">
              <w:rPr>
                <w:color w:val="202124"/>
                <w:lang w:val="id-ID"/>
              </w:rPr>
              <w:t>Keterangan</w:t>
            </w:r>
          </w:p>
          <w:p w14:paraId="7FE114FB"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color w:val="202124"/>
                <w:lang w:val="en-US"/>
              </w:rPr>
            </w:pPr>
          </w:p>
        </w:tc>
      </w:tr>
      <w:tr w:rsidR="007F1B58" w:rsidRPr="007F1B58" w14:paraId="0811581D" w14:textId="77777777" w:rsidTr="007F1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E522FD5"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en-US"/>
              </w:rPr>
            </w:pPr>
            <w:r w:rsidRPr="007F1B58">
              <w:rPr>
                <w:color w:val="202124"/>
                <w:lang w:val="id-ID"/>
              </w:rPr>
              <w:t>Remitansi</w:t>
            </w:r>
          </w:p>
        </w:tc>
        <w:tc>
          <w:tcPr>
            <w:tcW w:w="1276" w:type="dxa"/>
          </w:tcPr>
          <w:p w14:paraId="3201E7F4"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b/>
                <w:bCs/>
                <w:color w:val="202124"/>
                <w:lang w:val="en-US"/>
              </w:rPr>
            </w:pPr>
            <w:r w:rsidRPr="007F1B58">
              <w:rPr>
                <w:color w:val="202124"/>
                <w:lang w:val="id-ID"/>
              </w:rPr>
              <w:t>4.116481</w:t>
            </w:r>
          </w:p>
        </w:tc>
        <w:tc>
          <w:tcPr>
            <w:tcW w:w="1559" w:type="dxa"/>
          </w:tcPr>
          <w:p w14:paraId="0E2C52EF"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b/>
                <w:bCs/>
                <w:color w:val="202124"/>
                <w:lang w:val="en-US"/>
              </w:rPr>
            </w:pPr>
            <w:r w:rsidRPr="007F1B58">
              <w:rPr>
                <w:color w:val="202124"/>
                <w:lang w:val="id-ID"/>
              </w:rPr>
              <w:t>0.0001</w:t>
            </w:r>
          </w:p>
        </w:tc>
        <w:tc>
          <w:tcPr>
            <w:tcW w:w="2693" w:type="dxa"/>
          </w:tcPr>
          <w:p w14:paraId="557665C0"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color w:val="202124"/>
                <w:lang w:val="id-ID"/>
              </w:rPr>
            </w:pPr>
            <w:r w:rsidRPr="007F1B58">
              <w:rPr>
                <w:color w:val="202124"/>
                <w:lang w:val="id-ID"/>
              </w:rPr>
              <w:t>Signifikan</w:t>
            </w:r>
          </w:p>
          <w:p w14:paraId="3A2A692B"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b/>
                <w:bCs/>
                <w:color w:val="202124"/>
                <w:lang w:val="en-US"/>
              </w:rPr>
            </w:pPr>
          </w:p>
        </w:tc>
      </w:tr>
      <w:tr w:rsidR="007F1B58" w:rsidRPr="007F1B58" w14:paraId="54DCF192" w14:textId="77777777" w:rsidTr="007F1B58">
        <w:tc>
          <w:tcPr>
            <w:cnfStyle w:val="001000000000" w:firstRow="0" w:lastRow="0" w:firstColumn="1" w:lastColumn="0" w:oddVBand="0" w:evenVBand="0" w:oddHBand="0" w:evenHBand="0" w:firstRowFirstColumn="0" w:firstRowLastColumn="0" w:lastRowFirstColumn="0" w:lastRowLastColumn="0"/>
            <w:tcW w:w="2977" w:type="dxa"/>
          </w:tcPr>
          <w:p w14:paraId="1C6DFA93"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en-US"/>
              </w:rPr>
            </w:pPr>
            <w:r w:rsidRPr="007F1B58">
              <w:rPr>
                <w:color w:val="202124"/>
                <w:lang w:val="id-ID"/>
              </w:rPr>
              <w:t>Ekspor</w:t>
            </w:r>
          </w:p>
        </w:tc>
        <w:tc>
          <w:tcPr>
            <w:tcW w:w="1276" w:type="dxa"/>
          </w:tcPr>
          <w:p w14:paraId="4232890F"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b/>
                <w:bCs/>
                <w:color w:val="202124"/>
                <w:lang w:val="en-US"/>
              </w:rPr>
            </w:pPr>
            <w:r w:rsidRPr="007F1B58">
              <w:rPr>
                <w:color w:val="202124"/>
                <w:lang w:val="id-ID"/>
              </w:rPr>
              <w:t>1.792881</w:t>
            </w:r>
          </w:p>
        </w:tc>
        <w:tc>
          <w:tcPr>
            <w:tcW w:w="1559" w:type="dxa"/>
          </w:tcPr>
          <w:p w14:paraId="27C0CC02"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b/>
                <w:bCs/>
                <w:color w:val="202124"/>
                <w:lang w:val="en-US"/>
              </w:rPr>
            </w:pPr>
            <w:r w:rsidRPr="007F1B58">
              <w:rPr>
                <w:color w:val="202124"/>
                <w:lang w:val="id-ID"/>
              </w:rPr>
              <w:t>0.0775</w:t>
            </w:r>
          </w:p>
        </w:tc>
        <w:tc>
          <w:tcPr>
            <w:tcW w:w="2693" w:type="dxa"/>
          </w:tcPr>
          <w:p w14:paraId="2A5F2E1D"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color w:val="202124"/>
                <w:lang w:val="id-ID"/>
              </w:rPr>
            </w:pPr>
            <w:r w:rsidRPr="007F1B58">
              <w:rPr>
                <w:color w:val="202124"/>
                <w:lang w:val="id-ID"/>
              </w:rPr>
              <w:t>Tidak Signifikan</w:t>
            </w:r>
          </w:p>
          <w:p w14:paraId="2078C9A8"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b/>
                <w:bCs/>
                <w:color w:val="202124"/>
                <w:lang w:val="en-US"/>
              </w:rPr>
            </w:pPr>
          </w:p>
        </w:tc>
      </w:tr>
      <w:tr w:rsidR="007F1B58" w:rsidRPr="007F1B58" w14:paraId="42BDDFB1" w14:textId="77777777" w:rsidTr="007F1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B2C4914"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id-ID"/>
              </w:rPr>
            </w:pPr>
            <w:r w:rsidRPr="007F1B58">
              <w:rPr>
                <w:color w:val="202124"/>
                <w:lang w:val="id-ID"/>
              </w:rPr>
              <w:t>Investasi Asing Langsung</w:t>
            </w:r>
          </w:p>
          <w:p w14:paraId="2CFC5258"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en-US"/>
              </w:rPr>
            </w:pPr>
          </w:p>
        </w:tc>
        <w:tc>
          <w:tcPr>
            <w:tcW w:w="1276" w:type="dxa"/>
          </w:tcPr>
          <w:p w14:paraId="66EFB7C8"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b/>
                <w:bCs/>
                <w:color w:val="202124"/>
                <w:lang w:val="en-US"/>
              </w:rPr>
            </w:pPr>
            <w:r w:rsidRPr="007F1B58">
              <w:rPr>
                <w:color w:val="202124"/>
                <w:lang w:val="id-ID"/>
              </w:rPr>
              <w:t>3.558066</w:t>
            </w:r>
          </w:p>
        </w:tc>
        <w:tc>
          <w:tcPr>
            <w:tcW w:w="1559" w:type="dxa"/>
          </w:tcPr>
          <w:p w14:paraId="156A6E3E"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b/>
                <w:bCs/>
                <w:color w:val="202124"/>
                <w:lang w:val="en-US"/>
              </w:rPr>
            </w:pPr>
            <w:r w:rsidRPr="007F1B58">
              <w:rPr>
                <w:color w:val="202124"/>
                <w:lang w:val="id-ID"/>
              </w:rPr>
              <w:t>0.0007</w:t>
            </w:r>
          </w:p>
        </w:tc>
        <w:tc>
          <w:tcPr>
            <w:tcW w:w="2693" w:type="dxa"/>
          </w:tcPr>
          <w:p w14:paraId="2F13FA4B"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color w:val="202124"/>
                <w:lang w:val="en-US"/>
              </w:rPr>
            </w:pPr>
            <w:r w:rsidRPr="007F1B58">
              <w:rPr>
                <w:color w:val="202124"/>
                <w:lang w:val="id-ID"/>
              </w:rPr>
              <w:t>Signifikan</w:t>
            </w:r>
          </w:p>
          <w:p w14:paraId="2C75EACF"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b/>
                <w:bCs/>
                <w:color w:val="202124"/>
                <w:lang w:val="en-US"/>
              </w:rPr>
            </w:pPr>
          </w:p>
        </w:tc>
      </w:tr>
    </w:tbl>
    <w:p w14:paraId="093B50A3"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olor w:val="202124"/>
          <w:lang w:val="en-US"/>
        </w:rPr>
      </w:pPr>
    </w:p>
    <w:p w14:paraId="43912DB2" w14:textId="64CB326E"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id-ID"/>
        </w:rPr>
      </w:pPr>
      <w:r w:rsidRPr="007F1B58">
        <w:rPr>
          <w:color w:val="202124"/>
          <w:lang w:val="id-ID"/>
        </w:rPr>
        <w:t>Berikut ini adalah penjelasan hasil estimasi yang ditunjukkan pada tabel 3:</w:t>
      </w:r>
    </w:p>
    <w:p w14:paraId="3392CD26" w14:textId="77777777" w:rsidR="007F1B58" w:rsidRPr="007F1B58" w:rsidRDefault="007F1B58" w:rsidP="007F1B58">
      <w:pPr>
        <w:numPr>
          <w:ilvl w:val="1"/>
          <w:numId w:val="2"/>
        </w:numPr>
        <w:pBdr>
          <w:top w:val="nil"/>
          <w:left w:val="nil"/>
          <w:bottom w:val="nil"/>
          <w:right w:val="nil"/>
          <w:between w:val="nil"/>
        </w:pBdr>
        <w:tabs>
          <w:tab w:val="left" w:pos="426"/>
          <w:tab w:val="left" w:pos="9160"/>
          <w:tab w:val="left" w:pos="10076"/>
          <w:tab w:val="left" w:pos="10992"/>
          <w:tab w:val="left" w:pos="11908"/>
          <w:tab w:val="left" w:pos="12824"/>
          <w:tab w:val="left" w:pos="13740"/>
          <w:tab w:val="left" w:pos="14656"/>
        </w:tabs>
        <w:spacing w:after="0" w:line="240" w:lineRule="auto"/>
        <w:ind w:left="426"/>
        <w:jc w:val="both"/>
        <w:rPr>
          <w:color w:val="202124"/>
          <w:lang w:val="id-ID"/>
        </w:rPr>
      </w:pPr>
      <w:r w:rsidRPr="007F1B58">
        <w:rPr>
          <w:color w:val="202124"/>
          <w:lang w:val="id-ID"/>
        </w:rPr>
        <w:t>Variabel remitansi memiliki t-statistik sebesar 4,116481 dengan probabilitas 0,0001 yang lebih rendah dari tingkat signifikansi 0,05. Ini mengindikasikan bahwa remitansi memberikan pengaruh positif yang signifikan terhadap cadangan devisa.</w:t>
      </w:r>
    </w:p>
    <w:p w14:paraId="21D4E939" w14:textId="77777777" w:rsidR="007F1B58" w:rsidRPr="007F1B58" w:rsidRDefault="007F1B58" w:rsidP="007F1B58">
      <w:pPr>
        <w:numPr>
          <w:ilvl w:val="1"/>
          <w:numId w:val="2"/>
        </w:numPr>
        <w:pBdr>
          <w:top w:val="nil"/>
          <w:left w:val="nil"/>
          <w:bottom w:val="nil"/>
          <w:right w:val="nil"/>
          <w:between w:val="nil"/>
        </w:pBdr>
        <w:tabs>
          <w:tab w:val="left" w:pos="426"/>
          <w:tab w:val="left" w:pos="9160"/>
          <w:tab w:val="left" w:pos="10076"/>
          <w:tab w:val="left" w:pos="10992"/>
          <w:tab w:val="left" w:pos="11908"/>
          <w:tab w:val="left" w:pos="12824"/>
          <w:tab w:val="left" w:pos="13740"/>
          <w:tab w:val="left" w:pos="14656"/>
        </w:tabs>
        <w:spacing w:after="0" w:line="240" w:lineRule="auto"/>
        <w:ind w:left="426"/>
        <w:jc w:val="both"/>
        <w:rPr>
          <w:color w:val="202124"/>
          <w:lang w:val="id-ID"/>
        </w:rPr>
      </w:pPr>
      <w:r w:rsidRPr="007F1B58">
        <w:rPr>
          <w:color w:val="202124"/>
          <w:lang w:val="id-ID"/>
        </w:rPr>
        <w:t>Variabel ekspor menunjukkan t-statistik sebesar 1,792881 dengan probabilitas 0,0775 yang lebih tinggi dari tingkat signifikansi 0,05. Ini menunjukkan bahwa meskipun ekspor memberikan pengaruh positif terhadap cadangan devisa, pengaruh tersebut tidak signifikan.</w:t>
      </w:r>
    </w:p>
    <w:p w14:paraId="0003EEF3" w14:textId="77777777" w:rsidR="007F1B58" w:rsidRPr="007F1B58" w:rsidRDefault="007F1B58" w:rsidP="007F1B58">
      <w:pPr>
        <w:numPr>
          <w:ilvl w:val="1"/>
          <w:numId w:val="2"/>
        </w:numPr>
        <w:pBdr>
          <w:top w:val="nil"/>
          <w:left w:val="nil"/>
          <w:bottom w:val="nil"/>
          <w:right w:val="nil"/>
          <w:between w:val="nil"/>
        </w:pBdr>
        <w:tabs>
          <w:tab w:val="left" w:pos="426"/>
          <w:tab w:val="left" w:pos="9160"/>
          <w:tab w:val="left" w:pos="10076"/>
          <w:tab w:val="left" w:pos="10992"/>
          <w:tab w:val="left" w:pos="11908"/>
          <w:tab w:val="left" w:pos="12824"/>
          <w:tab w:val="left" w:pos="13740"/>
          <w:tab w:val="left" w:pos="14656"/>
        </w:tabs>
        <w:spacing w:after="0" w:line="240" w:lineRule="auto"/>
        <w:ind w:left="426"/>
        <w:jc w:val="both"/>
        <w:rPr>
          <w:color w:val="202124"/>
          <w:lang w:val="id-ID"/>
        </w:rPr>
      </w:pPr>
      <w:r w:rsidRPr="007F1B58">
        <w:rPr>
          <w:color w:val="202124"/>
          <w:lang w:val="id-ID"/>
        </w:rPr>
        <w:t xml:space="preserve">Variabel investasi asing langsung memiliki t-statistik sebesar 3,558066 dengan probabilitas 0,0007 yang lebih kecil dari 0,05. Oleh karena itu, investasi asing langsung memberikan pengaruh positif dan signifikan terhadap cadangan devisa. </w:t>
      </w:r>
    </w:p>
    <w:p w14:paraId="56ECE043" w14:textId="77777777" w:rsid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id-ID"/>
        </w:rPr>
      </w:pPr>
    </w:p>
    <w:p w14:paraId="6D4E326A"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color w:val="202124"/>
          <w:lang w:val="en-US"/>
        </w:rPr>
      </w:pPr>
      <w:r w:rsidRPr="007F1B58">
        <w:rPr>
          <w:b/>
          <w:bCs/>
          <w:color w:val="202124"/>
          <w:lang w:val="en-US"/>
        </w:rPr>
        <w:t>Tabel 4</w:t>
      </w:r>
      <w:r>
        <w:rPr>
          <w:b/>
          <w:bCs/>
          <w:color w:val="202124"/>
          <w:lang w:val="en-US"/>
        </w:rPr>
        <w:t xml:space="preserve"> </w:t>
      </w:r>
      <w:r w:rsidRPr="007F1B58">
        <w:rPr>
          <w:b/>
          <w:bCs/>
          <w:color w:val="202124"/>
          <w:lang w:val="en-US"/>
        </w:rPr>
        <w:t>Hasil Uji F</w:t>
      </w:r>
    </w:p>
    <w:tbl>
      <w:tblPr>
        <w:tblStyle w:val="PlainTable2"/>
        <w:tblW w:w="7796" w:type="dxa"/>
        <w:tblInd w:w="993" w:type="dxa"/>
        <w:tblLook w:val="04A0" w:firstRow="1" w:lastRow="0" w:firstColumn="1" w:lastColumn="0" w:noHBand="0" w:noVBand="1"/>
      </w:tblPr>
      <w:tblGrid>
        <w:gridCol w:w="4277"/>
        <w:gridCol w:w="3519"/>
      </w:tblGrid>
      <w:tr w:rsidR="007F1B58" w:rsidRPr="007F1B58" w14:paraId="6F440B95" w14:textId="77777777" w:rsidTr="005165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7" w:type="dxa"/>
          </w:tcPr>
          <w:p w14:paraId="6BF0FDB9" w14:textId="77777777" w:rsidR="007F1B58" w:rsidRPr="007F1B58" w:rsidRDefault="007F1B58" w:rsidP="001917F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en-US"/>
              </w:rPr>
            </w:pPr>
            <w:r w:rsidRPr="007F1B58">
              <w:rPr>
                <w:color w:val="202124"/>
                <w:lang w:val="id-ID"/>
              </w:rPr>
              <w:t>F-Statistik</w:t>
            </w:r>
          </w:p>
        </w:tc>
        <w:tc>
          <w:tcPr>
            <w:tcW w:w="3519" w:type="dxa"/>
          </w:tcPr>
          <w:p w14:paraId="17428DBB" w14:textId="77777777" w:rsidR="007F1B58" w:rsidRPr="007F1B58" w:rsidRDefault="007F1B58" w:rsidP="001917F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color w:val="202124"/>
                <w:lang w:val="id-ID"/>
              </w:rPr>
            </w:pPr>
            <w:r w:rsidRPr="007F1B58">
              <w:rPr>
                <w:color w:val="202124"/>
                <w:lang w:val="id-ID"/>
              </w:rPr>
              <w:t>752.4036</w:t>
            </w:r>
          </w:p>
        </w:tc>
      </w:tr>
      <w:tr w:rsidR="007F1B58" w:rsidRPr="007F1B58" w14:paraId="249743C8" w14:textId="77777777" w:rsidTr="005165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7" w:type="dxa"/>
          </w:tcPr>
          <w:p w14:paraId="207D4C5D" w14:textId="77777777" w:rsidR="007F1B58" w:rsidRPr="007F1B58" w:rsidRDefault="007F1B58" w:rsidP="001917F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en-US"/>
              </w:rPr>
            </w:pPr>
            <w:r w:rsidRPr="007F1B58">
              <w:rPr>
                <w:color w:val="202124"/>
                <w:lang w:val="id-ID"/>
              </w:rPr>
              <w:t>Prob (F-statistik)</w:t>
            </w:r>
          </w:p>
        </w:tc>
        <w:tc>
          <w:tcPr>
            <w:tcW w:w="3519" w:type="dxa"/>
          </w:tcPr>
          <w:p w14:paraId="01E76195" w14:textId="77777777" w:rsidR="007F1B58" w:rsidRPr="007F1B58" w:rsidRDefault="007F1B58" w:rsidP="001917F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color w:val="202124"/>
                <w:lang w:val="id-ID"/>
              </w:rPr>
            </w:pPr>
            <w:r w:rsidRPr="007F1B58">
              <w:rPr>
                <w:color w:val="202124"/>
                <w:lang w:val="id-ID"/>
              </w:rPr>
              <w:t>0.000000</w:t>
            </w:r>
          </w:p>
        </w:tc>
      </w:tr>
    </w:tbl>
    <w:p w14:paraId="782CE4B0" w14:textId="77777777" w:rsid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id-ID"/>
        </w:rPr>
      </w:pPr>
    </w:p>
    <w:p w14:paraId="31F29F71" w14:textId="50B984EA"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id-ID"/>
        </w:rPr>
      </w:pPr>
      <w:r w:rsidRPr="007F1B58">
        <w:rPr>
          <w:color w:val="202124"/>
          <w:lang w:val="id-ID"/>
        </w:rPr>
        <w:t>Berdasarkan hasil uji yang terlihat pada tabel 4, nilai F-statistik tercatat sebesar 752,4036 dengan probabilitas 0,000000. Karena nilai probabilitas ini lebih rendah dari tingkat signifikansi 0,05, maka dapat disimpulkan bahwa variabel independen secara bersamasama berpengaruh signifikan terhadap variabel dependen.</w:t>
      </w:r>
    </w:p>
    <w:p w14:paraId="3FD7418C"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color w:val="202124"/>
          <w:lang w:val="en-US"/>
        </w:rPr>
      </w:pPr>
      <w:r w:rsidRPr="007F1B58">
        <w:rPr>
          <w:b/>
          <w:bCs/>
          <w:color w:val="202124"/>
          <w:lang w:val="en-US"/>
        </w:rPr>
        <w:t>Tabel 5</w:t>
      </w:r>
      <w:r>
        <w:rPr>
          <w:b/>
          <w:bCs/>
          <w:color w:val="202124"/>
          <w:lang w:val="en-US"/>
        </w:rPr>
        <w:t xml:space="preserve"> </w:t>
      </w:r>
      <w:r w:rsidRPr="007F1B58">
        <w:rPr>
          <w:b/>
          <w:bCs/>
          <w:color w:val="202124"/>
          <w:lang w:val="en-US"/>
        </w:rPr>
        <w:t>Hasil Uji Koefesien Determinasi</w:t>
      </w:r>
    </w:p>
    <w:tbl>
      <w:tblPr>
        <w:tblStyle w:val="PlainTable2"/>
        <w:tblW w:w="7796" w:type="dxa"/>
        <w:tblInd w:w="993" w:type="dxa"/>
        <w:tblLook w:val="04A0" w:firstRow="1" w:lastRow="0" w:firstColumn="1" w:lastColumn="0" w:noHBand="0" w:noVBand="1"/>
      </w:tblPr>
      <w:tblGrid>
        <w:gridCol w:w="4277"/>
        <w:gridCol w:w="3519"/>
      </w:tblGrid>
      <w:tr w:rsidR="007F1B58" w:rsidRPr="007F1B58" w14:paraId="07FC8638" w14:textId="77777777" w:rsidTr="005165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7" w:type="dxa"/>
          </w:tcPr>
          <w:p w14:paraId="3FFA7286" w14:textId="77777777" w:rsidR="007F1B58" w:rsidRPr="007F1B58" w:rsidRDefault="007F1B58" w:rsidP="001917F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en-US"/>
              </w:rPr>
            </w:pPr>
            <w:r w:rsidRPr="007F1B58">
              <w:rPr>
                <w:color w:val="202124"/>
                <w:lang w:val="id-ID"/>
              </w:rPr>
              <w:t>R-squared</w:t>
            </w:r>
          </w:p>
        </w:tc>
        <w:tc>
          <w:tcPr>
            <w:tcW w:w="3519" w:type="dxa"/>
          </w:tcPr>
          <w:p w14:paraId="06085048" w14:textId="77777777" w:rsidR="007F1B58" w:rsidRPr="007F1B58" w:rsidRDefault="007F1B58" w:rsidP="001917F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color w:val="202124"/>
                <w:lang w:val="id-ID"/>
              </w:rPr>
            </w:pPr>
            <w:r w:rsidRPr="007F1B58">
              <w:rPr>
                <w:color w:val="202124"/>
                <w:lang w:val="id-ID"/>
              </w:rPr>
              <w:t>0.987439</w:t>
            </w:r>
          </w:p>
        </w:tc>
      </w:tr>
      <w:tr w:rsidR="007F1B58" w:rsidRPr="007F1B58" w14:paraId="5AC58BB0" w14:textId="77777777" w:rsidTr="005165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7" w:type="dxa"/>
          </w:tcPr>
          <w:p w14:paraId="7DB5BE53" w14:textId="77777777" w:rsidR="007F1B58" w:rsidRPr="007F1B58" w:rsidRDefault="007F1B58" w:rsidP="001917F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en-US"/>
              </w:rPr>
            </w:pPr>
            <w:r w:rsidRPr="007F1B58">
              <w:rPr>
                <w:color w:val="202124"/>
                <w:lang w:val="id-ID"/>
              </w:rPr>
              <w:t>Adjusted R-squared</w:t>
            </w:r>
          </w:p>
        </w:tc>
        <w:tc>
          <w:tcPr>
            <w:tcW w:w="3519" w:type="dxa"/>
          </w:tcPr>
          <w:p w14:paraId="405367E5" w14:textId="77777777" w:rsidR="007F1B58" w:rsidRPr="007F1B58" w:rsidRDefault="007F1B58" w:rsidP="001917F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color w:val="202124"/>
                <w:lang w:val="id-ID"/>
              </w:rPr>
            </w:pPr>
            <w:r w:rsidRPr="007F1B58">
              <w:rPr>
                <w:color w:val="202124"/>
                <w:lang w:val="id-ID"/>
              </w:rPr>
              <w:t>0.986126</w:t>
            </w:r>
          </w:p>
        </w:tc>
      </w:tr>
    </w:tbl>
    <w:p w14:paraId="2FE97CAC"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id-ID"/>
        </w:rPr>
      </w:pPr>
    </w:p>
    <w:p w14:paraId="41CC8E17" w14:textId="20BE2C3F"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id-ID"/>
        </w:rPr>
      </w:pPr>
      <w:r w:rsidRPr="007F1B58">
        <w:rPr>
          <w:color w:val="202124"/>
          <w:lang w:val="id-ID"/>
        </w:rPr>
        <w:t>Nilai R² sebesar 0,987439 mengindikasikan bahwa variabel independen menjelaskan 98,74% dari variasi pada variabel dependen. Dengan demikian, sisa 1,26% dipengaruhi oleh faktor-faktor lain yang tidak termasuk dalam penelitian ini.</w:t>
      </w:r>
    </w:p>
    <w:p w14:paraId="5F73D2E8"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id-ID"/>
        </w:rPr>
      </w:pPr>
    </w:p>
    <w:p w14:paraId="796F0437"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color w:val="202124"/>
          <w:lang w:val="en-US"/>
        </w:rPr>
      </w:pPr>
      <w:bookmarkStart w:id="4" w:name="_Toc209087199"/>
      <w:r w:rsidRPr="007F1B58">
        <w:rPr>
          <w:b/>
          <w:color w:val="202124"/>
          <w:lang w:val="en-US"/>
        </w:rPr>
        <w:t>Pembahasan</w:t>
      </w:r>
      <w:bookmarkEnd w:id="4"/>
    </w:p>
    <w:p w14:paraId="72B4A2F8"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olor w:val="202124"/>
          <w:lang w:val="en-ID"/>
        </w:rPr>
      </w:pPr>
      <w:bookmarkStart w:id="5" w:name="_Toc209087200"/>
      <w:r w:rsidRPr="007F1B58">
        <w:rPr>
          <w:b/>
          <w:bCs/>
          <w:color w:val="202124"/>
          <w:lang w:val="en-ID"/>
        </w:rPr>
        <w:t>Pengaruh Ekspor Terhadap Cadangan Devisa</w:t>
      </w:r>
    </w:p>
    <w:p w14:paraId="16DD0799"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color w:val="202124"/>
          <w:lang w:val="id-ID"/>
        </w:rPr>
      </w:pPr>
      <w:r w:rsidRPr="007F1B58">
        <w:rPr>
          <w:bCs/>
          <w:color w:val="202124"/>
          <w:lang w:val="id-ID"/>
        </w:rPr>
        <w:t xml:space="preserve">Hasil analisis data menunjukkan bahwa ekspor memiliki hubungan positif terhadap cadangan devisa. Namun, pengaruh tersebut tidak signifikan, sebagaimana terlihat dari nilai probabilitas ekspor sebesar 0,0775, yang lebih tinggi dari tingkat signifikansi yang ditentukan. Oleh karena itu, ekspor tidak memberikan dampak yang berarti pada cadangan devisa. Secara teori, kelebihan dalam neraca </w:t>
      </w:r>
      <w:r w:rsidRPr="007F1B58">
        <w:rPr>
          <w:bCs/>
          <w:color w:val="202124"/>
          <w:lang w:val="id-ID"/>
        </w:rPr>
        <w:lastRenderedPageBreak/>
        <w:t>perdagangan dapat memberikan efek positif terhadap cadangan devisa. Hal ini terjadi ketika nilai ekspor barang melebihi nilai impor, sehingga menciptakan surplus perdagangan yang berkontribusi pada peningkatan cadangan devisa (Neely dalam Sahrul et al., 2023). Ketika suatu negara terus mengekspor barang ke negara lain, negara tersebut menerima mata uang asing dari importir. Oleh karena itu, semakin tinggi volume ekspor, semakin banyak mata uang asing yang dihasilkan (Sahrul et al., 2023).</w:t>
      </w:r>
    </w:p>
    <w:p w14:paraId="387923AB"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color w:val="202124"/>
          <w:lang w:val="id-ID"/>
        </w:rPr>
      </w:pPr>
      <w:r w:rsidRPr="007F1B58">
        <w:rPr>
          <w:bCs/>
          <w:color w:val="202124"/>
          <w:lang w:val="id-ID"/>
        </w:rPr>
        <w:t>Namun, temuan penelitian ini mengungkapkan bahwa ekspor tidak memiliki dampak yang signifikan terhadap cadangan devisa. Hal ini kemungkinan disebabkan oleh adanya defisit dalam neraca perdagangan pada beberapa tahun tertentu. Hal ini mengindikasikan bahwa peningkatan ekspor perlu disertai dengan pengelolaan impor yang terkendali untuk mencegah kelebihan, sehingga cadangan devisa dapat tetap terjaga dengan stabil (Ngurah et al., 2022). Hasil ini sejalan dengan penelitian Sukma Apriadi &amp; Djinar Setiawina (2022) yang juga mengidentifikasi bahwa ekspor secara individu memiliki hubungan positif namun tidak signifikan terhadap cadangan devisa.</w:t>
      </w:r>
    </w:p>
    <w:p w14:paraId="42651470" w14:textId="7AC5A952"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olor w:val="202124"/>
          <w:lang w:val="en-ID"/>
        </w:rPr>
      </w:pPr>
      <w:bookmarkStart w:id="6" w:name="_Toc209087202"/>
      <w:bookmarkEnd w:id="5"/>
      <w:r w:rsidRPr="007F1B58">
        <w:rPr>
          <w:b/>
          <w:bCs/>
          <w:color w:val="202124"/>
          <w:lang w:val="en-ID"/>
        </w:rPr>
        <w:t>Pengaruh Investasi Asing Langsung Terhadap Cadangan Devisa</w:t>
      </w:r>
      <w:bookmarkEnd w:id="6"/>
    </w:p>
    <w:p w14:paraId="3ACDDAD7"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color w:val="202124"/>
          <w:lang w:val="id-ID"/>
        </w:rPr>
      </w:pPr>
      <w:r w:rsidRPr="007F1B58">
        <w:rPr>
          <w:bCs/>
          <w:color w:val="202124"/>
          <w:lang w:val="id-ID"/>
        </w:rPr>
        <w:t>Hasil analisis data dan pengujian menunjukkan bahwa investasi asing langsung memiliki korelasi positif yang signifikan terhadap cadangan devisa. Dengan nilai probabilitas sebesar 0,0007, yang lebih rendah dari tingkat signifikansi, hal ini menegaskan bahwa hubungan antara investasi asing langsung dan cadangan devisa bersifat signifikan. Oleh karena itu, peningkatan investasi asing langsung cenderung disertai dengan peningkatan cadangan devisa. Menurut teori Neo Klasik Harrod-Domar, investasi dipandang sebagai elemen kunci dalam mendorong pertumbuhan ekonomi yang berkelanjutan dalam jangka panjang (Gandhi et al., 2022). Dampak dari investasi asing ini dapat menambah gap devisa melalui peningkatan jumlah valuta asing yang ditukar. Penambahan valuta asing ini, pada gilirannya, akan memperbesar cadangan devisa negara. Ketersediaan valuta asing sangat penting untuk memfasilitasi transaksi internasional dan memenuhi kebutuhan dalam negeri yang mendukung pembangunan. Semakin banyak valuta asing yang tersedia, semakin besar pula cadangan devisa yang dimiliki. Investasi asing langsung tidak hanya berfungsi untuk mengisi kesenjangan investasi domestik, tetapi juga dapat mengatasi kekosongan devisa (Karisna Pramita &amp; Sri Budhi, 2020). Arus modal asing dapat membantu menutupi kekurangan devisa melalui transaksi penjualan aset. Dalam neraca pembayaran, aliran modal ini akan menghasilkan keseimbangan kredit dalam sistem pencatatan ganda (Salvatore dalam Meita Murni Lestari &amp; Yogi Swara, 2016). Temuan penelitian ini sejalan dengan penelitian Karisna Pramita &amp; Sri Budhi (2020), yang juga menunjukkan bahwa investasi asing langsung berpengaruh positif dan signifikan terhadap cadangan devisa di Indonesia.</w:t>
      </w:r>
    </w:p>
    <w:p w14:paraId="45721978"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olor w:val="202124"/>
          <w:lang w:val="en-ID"/>
        </w:rPr>
      </w:pPr>
      <w:r w:rsidRPr="007F1B58">
        <w:rPr>
          <w:b/>
          <w:bCs/>
          <w:color w:val="202124"/>
          <w:lang w:val="en-ID"/>
        </w:rPr>
        <w:t>Pengaruh Remitansi terhadap Cadangan devisa</w:t>
      </w:r>
    </w:p>
    <w:p w14:paraId="4547ECE8"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color w:val="202124"/>
          <w:lang w:val="id-ID"/>
        </w:rPr>
      </w:pPr>
      <w:r w:rsidRPr="007F1B58">
        <w:rPr>
          <w:bCs/>
          <w:color w:val="202124"/>
          <w:lang w:val="id-ID"/>
        </w:rPr>
        <w:t>Hasil analisis data dan pengujian menunjukkan bahwa remitansi memiliki hubungan positif dengan cadangan devisa. Nilai probabilitas remitansi sebesar 0.0001, yang lebih kecil dari taraf signifikansi, mengindikasikan adanya pengaruh signifikan antara remitansi dan cadangan devisa. Dengan kata lain, peningkatan remitansi akan mendorong kenaikan cadangan devisa, sedangkan penurunan remitansi akan menyebabkan penurunan cadangan devisa. Ratha dan Riedberg menjelaskan bahwa remitansi tidak hanya meningkatkan pendapatan individu penerima, tetapi juga menambah cadangan devisa negara penerima (Kadozi, 2019). Temuan ini konsisten dengan penelitian Ali &amp; Ismail (2024) yang menemukan adanya pengaruh positif dan signifikan antara remitansi dan cadangan devisa di Pakistan. Selain itu, penelitian Bindu et al. (2024) juga mendukung hasil ini, menunjukkan hubungan signifikan dan positif antara remitansi dan cadangan devisa, baik dalam jangka pendek maupun jangka panjang di negara-negara Brasil, Rusia, India, Tiongkok, dan Afrika Selatan (BRICS).</w:t>
      </w:r>
    </w:p>
    <w:p w14:paraId="3F56D48C" w14:textId="77777777" w:rsidR="0017466A" w:rsidRDefault="001746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p>
    <w:p w14:paraId="55C9F0C7" w14:textId="0AAF75DE" w:rsidR="002D3CB4" w:rsidRPr="007F1B58" w:rsidRDefault="001C1497" w:rsidP="007F1B58">
      <w:pPr>
        <w:spacing w:before="200" w:after="0"/>
        <w:jc w:val="both"/>
      </w:pPr>
      <w:r>
        <w:rPr>
          <w:b/>
        </w:rPr>
        <w:t>KESIMPULAN</w:t>
      </w:r>
    </w:p>
    <w:p w14:paraId="387EF2D0"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id-ID"/>
        </w:rPr>
      </w:pPr>
      <w:r w:rsidRPr="007F1B58">
        <w:rPr>
          <w:color w:val="202124"/>
          <w:lang w:val="id-ID"/>
        </w:rPr>
        <w:t>Remitansi memiliki hubungan positif dan signifikan dengan cadangan devisa di negara-negara BRICS. Hal ini menunjukkan bahwa peningkatan remitansi akan meningkatkan cadangan devisa, sedangkan penurunan remitansi akan menyebabkan penurunan cadangan devisa.</w:t>
      </w:r>
    </w:p>
    <w:p w14:paraId="7935E1E9"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id-ID"/>
        </w:rPr>
      </w:pPr>
      <w:r w:rsidRPr="007F1B58">
        <w:rPr>
          <w:color w:val="202124"/>
          <w:lang w:val="id-ID"/>
        </w:rPr>
        <w:t>Ekspor memiliki hubungan positif dengan cadangan devisa, namun pengaruhnya tidak signifikan di negara-negara BRICS. Hal ini mengindikasikan bahwa meskipun secara teori ekspor dapat meningkatkan cadangan devisa melalui surplus perdagangan, kenyataan menunjukkan bahwa kondisi tersebut belum tercapai secara konsisten. Ketidaksignifikanan ini kemungkinan disebabkan oleh defisit neraca perdagangan pada beberapa tahun tertentu, di mana peningkatan ekspor tidak diimbangi dengan pengendalian impor yang memadai.</w:t>
      </w:r>
    </w:p>
    <w:p w14:paraId="2328AB5F" w14:textId="77777777" w:rsidR="007F1B58" w:rsidRPr="007F1B58" w:rsidRDefault="007F1B58" w:rsidP="007F1B5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lang w:val="id-ID"/>
        </w:rPr>
      </w:pPr>
      <w:r w:rsidRPr="007F1B58">
        <w:rPr>
          <w:color w:val="202124"/>
          <w:lang w:val="id-ID"/>
        </w:rPr>
        <w:lastRenderedPageBreak/>
        <w:t>Terdapat hubungan yang positif dan signifikan antara investasi asing langsung dengan cadangan devisa di negara-negara BRICS. Hal ini menunjukkan bahwa peningkatan investasi asing langsung akan mendorong peningkatan cadangan devisa.</w:t>
      </w:r>
    </w:p>
    <w:p w14:paraId="3E794369" w14:textId="77777777" w:rsidR="002D3CB4" w:rsidRDefault="001C1497">
      <w:pPr>
        <w:spacing w:before="200" w:after="0" w:line="240" w:lineRule="auto"/>
        <w:jc w:val="both"/>
      </w:pPr>
      <w:r>
        <w:rPr>
          <w:b/>
        </w:rPr>
        <w:t>DAFTAR PUSTAKA</w:t>
      </w:r>
    </w:p>
    <w:bookmarkStart w:id="7" w:name="OLE_LINK13" w:displacedByCustomXml="next"/>
    <w:bookmarkStart w:id="8" w:name="OLE_LINK12" w:displacedByCustomXml="next"/>
    <w:sdt>
      <w:sdtPr>
        <w:rPr>
          <w:sz w:val="24"/>
          <w:szCs w:val="24"/>
        </w:rPr>
        <w:tag w:val="MENDELEY_BIBLIOGRAPHY"/>
        <w:id w:val="1161894272"/>
        <w:placeholder>
          <w:docPart w:val="6F753E988B539745B7FD8381A8C20DC1"/>
        </w:placeholder>
      </w:sdtPr>
      <w:sdtEndPr/>
      <w:sdtContent>
        <w:bookmarkEnd w:id="8" w:displacedByCustomXml="prev"/>
        <w:bookmarkEnd w:id="7" w:displacedByCustomXml="prev"/>
        <w:p w14:paraId="16A5640F"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Abdullah, K., Jannah, M., Aiman, U., Hasda, S., Fadilla, Z., Taqwin, Masita, Ardiawan, K. N., &amp; Eka Sari, M. (2022). </w:t>
          </w:r>
          <w:r w:rsidRPr="000B1AFE">
            <w:rPr>
              <w:i/>
              <w:iCs/>
              <w:sz w:val="24"/>
              <w:szCs w:val="24"/>
            </w:rPr>
            <w:t>Metodologi Penelitian Kuantitatif</w:t>
          </w:r>
          <w:r w:rsidRPr="000B1AFE">
            <w:rPr>
              <w:sz w:val="24"/>
              <w:szCs w:val="24"/>
            </w:rPr>
            <w:t>. http://penerbitzaini.com</w:t>
          </w:r>
        </w:p>
        <w:p w14:paraId="61FC45B9"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Afdi, M. (2014). </w:t>
          </w:r>
          <w:r w:rsidRPr="000B1AFE">
            <w:rPr>
              <w:i/>
              <w:iCs/>
              <w:sz w:val="24"/>
              <w:szCs w:val="24"/>
            </w:rPr>
            <w:t>The Effect of Workers’ Remittances on Exchange Rates of Rupiah</w:t>
          </w:r>
          <w:r w:rsidRPr="000B1AFE">
            <w:rPr>
              <w:sz w:val="24"/>
              <w:szCs w:val="24"/>
            </w:rPr>
            <w:t>.</w:t>
          </w:r>
        </w:p>
        <w:p w14:paraId="260BC5D7"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Ali, G. A., &amp; Ismail, N. A. (2024). The Impacts of Remittances on Foreign Reserves of Pakistan: Does Pakistan Suffer from Dutch Disease? </w:t>
          </w:r>
          <w:r w:rsidRPr="000B1AFE">
            <w:rPr>
              <w:i/>
              <w:iCs/>
              <w:sz w:val="24"/>
              <w:szCs w:val="24"/>
            </w:rPr>
            <w:t>International Journal of Academic Research in Economics and Management Sciences</w:t>
          </w:r>
          <w:r w:rsidRPr="000B1AFE">
            <w:rPr>
              <w:sz w:val="24"/>
              <w:szCs w:val="24"/>
            </w:rPr>
            <w:t xml:space="preserve">, </w:t>
          </w:r>
          <w:r w:rsidRPr="000B1AFE">
            <w:rPr>
              <w:i/>
              <w:iCs/>
              <w:sz w:val="24"/>
              <w:szCs w:val="24"/>
            </w:rPr>
            <w:t>13</w:t>
          </w:r>
          <w:r w:rsidRPr="000B1AFE">
            <w:rPr>
              <w:sz w:val="24"/>
              <w:szCs w:val="24"/>
            </w:rPr>
            <w:t>(2). https://doi.org/10.6007/ijarems/v13-i2/21283</w:t>
          </w:r>
        </w:p>
        <w:p w14:paraId="2CB197B5"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Azhar, K., Sadaf, T., Rouf, A., Iqbal, M. A., &amp; Azhar, U. (2024). Competitive Textile Exports: A Comparative Study of Pakistan and China in the United States of America Market. </w:t>
          </w:r>
          <w:r w:rsidRPr="000B1AFE">
            <w:rPr>
              <w:i/>
              <w:iCs/>
              <w:sz w:val="24"/>
              <w:szCs w:val="24"/>
            </w:rPr>
            <w:t>Journal of Economic Impact</w:t>
          </w:r>
          <w:r w:rsidRPr="000B1AFE">
            <w:rPr>
              <w:sz w:val="24"/>
              <w:szCs w:val="24"/>
            </w:rPr>
            <w:t xml:space="preserve">, </w:t>
          </w:r>
          <w:r w:rsidRPr="000B1AFE">
            <w:rPr>
              <w:i/>
              <w:iCs/>
              <w:sz w:val="24"/>
              <w:szCs w:val="24"/>
            </w:rPr>
            <w:t>6</w:t>
          </w:r>
          <w:r w:rsidRPr="000B1AFE">
            <w:rPr>
              <w:sz w:val="24"/>
              <w:szCs w:val="24"/>
            </w:rPr>
            <w:t>(2), 138–146. https://doi.org/10.52223/econimpact.2024.6204</w:t>
          </w:r>
        </w:p>
        <w:p w14:paraId="3415C2FC"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Banday, U. J., Murugan, S., &amp; Maryam, J. (2021). Foreign direct investment, trade openness and economic growth in BRICS countries: evidences from panel data. </w:t>
          </w:r>
          <w:r w:rsidRPr="000B1AFE">
            <w:rPr>
              <w:i/>
              <w:iCs/>
              <w:sz w:val="24"/>
              <w:szCs w:val="24"/>
            </w:rPr>
            <w:t>Transnational Corporations Review</w:t>
          </w:r>
          <w:r w:rsidRPr="000B1AFE">
            <w:rPr>
              <w:sz w:val="24"/>
              <w:szCs w:val="24"/>
            </w:rPr>
            <w:t xml:space="preserve">, </w:t>
          </w:r>
          <w:r w:rsidRPr="000B1AFE">
            <w:rPr>
              <w:i/>
              <w:iCs/>
              <w:sz w:val="24"/>
              <w:szCs w:val="24"/>
            </w:rPr>
            <w:t>13</w:t>
          </w:r>
          <w:r w:rsidRPr="000B1AFE">
            <w:rPr>
              <w:sz w:val="24"/>
              <w:szCs w:val="24"/>
            </w:rPr>
            <w:t>(2), 211–221. https://doi.org/10.1080/19186444.2020.1851162</w:t>
          </w:r>
        </w:p>
        <w:p w14:paraId="41E61B48"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Bindu, S., Das, C. P., Sethi, M., Dash, S. R., &amp; Swain, R. K. (2024). Do Remittances and Financial Development Promote International Reserves in BRICS Economies? </w:t>
          </w:r>
          <w:r w:rsidRPr="000B1AFE">
            <w:rPr>
              <w:i/>
              <w:iCs/>
              <w:sz w:val="24"/>
              <w:szCs w:val="24"/>
            </w:rPr>
            <w:t>Journal of East-West Business</w:t>
          </w:r>
          <w:r w:rsidRPr="000B1AFE">
            <w:rPr>
              <w:sz w:val="24"/>
              <w:szCs w:val="24"/>
            </w:rPr>
            <w:t>. https://doi.org/10.1080/10669868.2024.2369713</w:t>
          </w:r>
        </w:p>
        <w:p w14:paraId="33B17BEA" w14:textId="77777777" w:rsidR="007F1B58" w:rsidRPr="000B1AFE" w:rsidRDefault="007F1B58" w:rsidP="007F1B58">
          <w:pPr>
            <w:autoSpaceDE w:val="0"/>
            <w:autoSpaceDN w:val="0"/>
            <w:ind w:left="567" w:hanging="567"/>
            <w:jc w:val="both"/>
            <w:rPr>
              <w:sz w:val="24"/>
              <w:szCs w:val="24"/>
            </w:rPr>
          </w:pPr>
          <w:r w:rsidRPr="000B1AFE">
            <w:rPr>
              <w:i/>
              <w:iCs/>
              <w:sz w:val="24"/>
              <w:szCs w:val="24"/>
            </w:rPr>
            <w:t xml:space="preserve">BRICS Digital Economy Report </w:t>
          </w:r>
          <w:r w:rsidRPr="000B1AFE">
            <w:rPr>
              <w:sz w:val="24"/>
              <w:szCs w:val="24"/>
            </w:rPr>
            <w:t>. (2022).</w:t>
          </w:r>
        </w:p>
        <w:p w14:paraId="3AEB82EB"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Carvalho, P., &amp; Nogueira, I. (2023). The role of the State on foreign direct investment regulation in China. </w:t>
          </w:r>
          <w:r w:rsidRPr="000B1AFE">
            <w:rPr>
              <w:i/>
              <w:iCs/>
              <w:sz w:val="24"/>
              <w:szCs w:val="24"/>
            </w:rPr>
            <w:t>Brazilian Journal of Political Economy</w:t>
          </w:r>
          <w:r w:rsidRPr="000B1AFE">
            <w:rPr>
              <w:sz w:val="24"/>
              <w:szCs w:val="24"/>
            </w:rPr>
            <w:t xml:space="preserve">, </w:t>
          </w:r>
          <w:r w:rsidRPr="000B1AFE">
            <w:rPr>
              <w:i/>
              <w:iCs/>
              <w:sz w:val="24"/>
              <w:szCs w:val="24"/>
            </w:rPr>
            <w:t>43</w:t>
          </w:r>
          <w:r w:rsidRPr="000B1AFE">
            <w:rPr>
              <w:sz w:val="24"/>
              <w:szCs w:val="24"/>
            </w:rPr>
            <w:t>(1), 256–274. https://doi.org/10.1590/0101-31572023-3404</w:t>
          </w:r>
        </w:p>
        <w:p w14:paraId="780A5313"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Chintamani, B. G., &amp; Kulkarni, L. (2023). Determinants and Effects of International Remittances: Evidence from Ratnagiri District of Rural Maharashtra. </w:t>
          </w:r>
          <w:r w:rsidRPr="000B1AFE">
            <w:rPr>
              <w:i/>
              <w:iCs/>
              <w:sz w:val="24"/>
              <w:szCs w:val="24"/>
            </w:rPr>
            <w:t>Indian Journal of Labour Economics</w:t>
          </w:r>
          <w:r w:rsidRPr="000B1AFE">
            <w:rPr>
              <w:sz w:val="24"/>
              <w:szCs w:val="24"/>
            </w:rPr>
            <w:t xml:space="preserve">, </w:t>
          </w:r>
          <w:r w:rsidRPr="000B1AFE">
            <w:rPr>
              <w:i/>
              <w:iCs/>
              <w:sz w:val="24"/>
              <w:szCs w:val="24"/>
            </w:rPr>
            <w:t>66</w:t>
          </w:r>
          <w:r w:rsidRPr="000B1AFE">
            <w:rPr>
              <w:sz w:val="24"/>
              <w:szCs w:val="24"/>
            </w:rPr>
            <w:t>(2), 617–637. https://doi.org/10.1007/s41027-022-00426-1</w:t>
          </w:r>
        </w:p>
        <w:p w14:paraId="3F21FAB6"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Dessy Dianita S, &amp; Idah Zuhroh. (2018). ANALISA CADANGAN DEVISA INDONESIA TAHUN 1990-2016. </w:t>
          </w:r>
          <w:r w:rsidRPr="000B1AFE">
            <w:rPr>
              <w:i/>
              <w:iCs/>
              <w:sz w:val="24"/>
              <w:szCs w:val="24"/>
            </w:rPr>
            <w:t>JurnalIlmuEkonomi</w:t>
          </w:r>
          <w:r w:rsidRPr="000B1AFE">
            <w:rPr>
              <w:sz w:val="24"/>
              <w:szCs w:val="24"/>
            </w:rPr>
            <w:t xml:space="preserve">, </w:t>
          </w:r>
          <w:r w:rsidRPr="000B1AFE">
            <w:rPr>
              <w:i/>
              <w:iCs/>
              <w:sz w:val="24"/>
              <w:szCs w:val="24"/>
            </w:rPr>
            <w:t>Volume2</w:t>
          </w:r>
          <w:r w:rsidRPr="000B1AFE">
            <w:rPr>
              <w:sz w:val="24"/>
              <w:szCs w:val="24"/>
            </w:rPr>
            <w:t>, 119–131.</w:t>
          </w:r>
        </w:p>
        <w:p w14:paraId="159BE6DF"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Fuad Anshari, M., El Khilla, A., &amp; Permata, I. R. (2017). ANALISIS PENGARUH INFLASI DAN KURS TERHADAP EKSPOR DI NEGARA ASEAN 5 PERIODE TAHUN 2012-2016. </w:t>
          </w:r>
          <w:r w:rsidRPr="000B1AFE">
            <w:rPr>
              <w:i/>
              <w:iCs/>
              <w:sz w:val="24"/>
              <w:szCs w:val="24"/>
            </w:rPr>
            <w:t>Jurnal Info Artha</w:t>
          </w:r>
          <w:r w:rsidRPr="000B1AFE">
            <w:rPr>
              <w:sz w:val="24"/>
              <w:szCs w:val="24"/>
            </w:rPr>
            <w:t xml:space="preserve">, </w:t>
          </w:r>
          <w:r w:rsidRPr="000B1AFE">
            <w:rPr>
              <w:i/>
              <w:iCs/>
              <w:sz w:val="24"/>
              <w:szCs w:val="24"/>
            </w:rPr>
            <w:t>Vol.1, No.2</w:t>
          </w:r>
          <w:r w:rsidRPr="000B1AFE">
            <w:rPr>
              <w:sz w:val="24"/>
              <w:szCs w:val="24"/>
            </w:rPr>
            <w:t>, 121–128.</w:t>
          </w:r>
        </w:p>
        <w:p w14:paraId="18F4A8D2"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Gandhi, E. A., Pasaribu, E., Ekaputri, R. A., &amp; Febriani, R. E. (2022). Investasi Asing Langsung dan Pertumbuhan Ekonomi: Perbandingan Empiris Indonesia dan Singapura. </w:t>
          </w:r>
          <w:r w:rsidRPr="000B1AFE">
            <w:rPr>
              <w:i/>
              <w:iCs/>
              <w:sz w:val="24"/>
              <w:szCs w:val="24"/>
            </w:rPr>
            <w:t>Ecoplan</w:t>
          </w:r>
          <w:r w:rsidRPr="000B1AFE">
            <w:rPr>
              <w:sz w:val="24"/>
              <w:szCs w:val="24"/>
            </w:rPr>
            <w:t xml:space="preserve">, </w:t>
          </w:r>
          <w:r w:rsidRPr="000B1AFE">
            <w:rPr>
              <w:i/>
              <w:iCs/>
              <w:sz w:val="24"/>
              <w:szCs w:val="24"/>
            </w:rPr>
            <w:t>5</w:t>
          </w:r>
          <w:r w:rsidRPr="000B1AFE">
            <w:rPr>
              <w:sz w:val="24"/>
              <w:szCs w:val="24"/>
            </w:rPr>
            <w:t>(2), 159–170. https://doi.org/10.20527/ecoplan.v5i2.563</w:t>
          </w:r>
        </w:p>
        <w:p w14:paraId="7CFD2F6A"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Goyal, K. (2017). </w:t>
          </w:r>
          <w:r w:rsidRPr="000B1AFE">
            <w:rPr>
              <w:i/>
              <w:iCs/>
              <w:sz w:val="24"/>
              <w:szCs w:val="24"/>
            </w:rPr>
            <w:t>Analyzing Trends of Remittances to India in the Era of Globalization</w:t>
          </w:r>
          <w:r w:rsidRPr="000B1AFE">
            <w:rPr>
              <w:sz w:val="24"/>
              <w:szCs w:val="24"/>
            </w:rPr>
            <w:t>. https://www.researchgate.net/publication/322025925</w:t>
          </w:r>
        </w:p>
        <w:p w14:paraId="1810FF61"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Gujarati, D. N., Burr Ridge, B., Dubuque, I., Madison, I., &amp; New York San Francisco St Louis Bangkok Bogota Caracas Kuala Lumpur Lisbon London Madrid Mexico City Milan </w:t>
          </w:r>
          <w:r w:rsidRPr="000B1AFE">
            <w:rPr>
              <w:sz w:val="24"/>
              <w:szCs w:val="24"/>
            </w:rPr>
            <w:lastRenderedPageBreak/>
            <w:t xml:space="preserve">Montreal New Delhi Santiago Seoul Singapore Sydney Taipei Toronto, W. (2003). </w:t>
          </w:r>
          <w:r w:rsidRPr="000B1AFE">
            <w:rPr>
              <w:i/>
              <w:iCs/>
              <w:sz w:val="24"/>
              <w:szCs w:val="24"/>
            </w:rPr>
            <w:t>Basic Econometrics Fourth Edition</w:t>
          </w:r>
          <w:r w:rsidRPr="000B1AFE">
            <w:rPr>
              <w:sz w:val="24"/>
              <w:szCs w:val="24"/>
            </w:rPr>
            <w:t>. www.mhhe.com</w:t>
          </w:r>
        </w:p>
        <w:p w14:paraId="5F21E81B"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Herliani, &amp; Sukarniati, L. (2024). Analisis Pengaruh Ekspor, Foreign Direct Investment (FDI), Nilai Tukar, dan Inflasi Terhadap Cadangan Devisa di Negara Asean-6 Tahun 2011-2022. </w:t>
          </w:r>
          <w:r w:rsidRPr="000B1AFE">
            <w:rPr>
              <w:i/>
              <w:iCs/>
              <w:sz w:val="24"/>
              <w:szCs w:val="24"/>
            </w:rPr>
            <w:t>Jurnal Penelitian Ilmu-Ilmu Sosial</w:t>
          </w:r>
          <w:r w:rsidRPr="000B1AFE">
            <w:rPr>
              <w:sz w:val="24"/>
              <w:szCs w:val="24"/>
            </w:rPr>
            <w:t xml:space="preserve">, </w:t>
          </w:r>
          <w:r w:rsidRPr="000B1AFE">
            <w:rPr>
              <w:i/>
              <w:iCs/>
              <w:sz w:val="24"/>
              <w:szCs w:val="24"/>
            </w:rPr>
            <w:t>1</w:t>
          </w:r>
          <w:r w:rsidRPr="000B1AFE">
            <w:rPr>
              <w:sz w:val="24"/>
              <w:szCs w:val="24"/>
            </w:rPr>
            <w:t>(11). https://doi.org/10.5281/zenodo.11514687</w:t>
          </w:r>
        </w:p>
        <w:p w14:paraId="32D232AB"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Jummiati, Usman, U., Putri Mellita Sari, C., &amp; Rahmah, M. (2023). </w:t>
          </w:r>
          <w:r w:rsidRPr="000B1AFE">
            <w:rPr>
              <w:i/>
              <w:iCs/>
              <w:sz w:val="24"/>
              <w:szCs w:val="24"/>
            </w:rPr>
            <w:t>Pengaruh Jumlah Kunjungan Wisatawan Mancanegara, Ekspor Dan Utang Luar Negeri Terhadap Cadangan Devisa Di Negara Anggota ASEAN</w:t>
          </w:r>
          <w:r w:rsidRPr="000B1AFE">
            <w:rPr>
              <w:sz w:val="24"/>
              <w:szCs w:val="24"/>
            </w:rPr>
            <w:t xml:space="preserve">. </w:t>
          </w:r>
          <w:r w:rsidRPr="000B1AFE">
            <w:rPr>
              <w:i/>
              <w:iCs/>
              <w:sz w:val="24"/>
              <w:szCs w:val="24"/>
            </w:rPr>
            <w:t>2</w:t>
          </w:r>
          <w:r w:rsidRPr="000B1AFE">
            <w:rPr>
              <w:sz w:val="24"/>
              <w:szCs w:val="24"/>
            </w:rPr>
            <w:t>(2).</w:t>
          </w:r>
        </w:p>
        <w:p w14:paraId="44EEA250"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Kadozi, E. (2019). Remittance inflows and economic growth in Rwanda. </w:t>
          </w:r>
          <w:r w:rsidRPr="000B1AFE">
            <w:rPr>
              <w:i/>
              <w:iCs/>
              <w:sz w:val="24"/>
              <w:szCs w:val="24"/>
            </w:rPr>
            <w:t>Research in Globalization</w:t>
          </w:r>
          <w:r w:rsidRPr="000B1AFE">
            <w:rPr>
              <w:sz w:val="24"/>
              <w:szCs w:val="24"/>
            </w:rPr>
            <w:t xml:space="preserve">, </w:t>
          </w:r>
          <w:r w:rsidRPr="000B1AFE">
            <w:rPr>
              <w:i/>
              <w:iCs/>
              <w:sz w:val="24"/>
              <w:szCs w:val="24"/>
            </w:rPr>
            <w:t>1</w:t>
          </w:r>
          <w:r w:rsidRPr="000B1AFE">
            <w:rPr>
              <w:sz w:val="24"/>
              <w:szCs w:val="24"/>
            </w:rPr>
            <w:t>. https://doi.org/10.1016/j.resglo.2019.100005</w:t>
          </w:r>
        </w:p>
        <w:p w14:paraId="11D5A8E3"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Karisna Pramita, K. R., &amp; Sri Budhi, M. K. (2020). The Effect Of Usd Exchange Rates, Inflation And Foreign Investment And Indonesia Foreign Exchange Reserves. In </w:t>
          </w:r>
          <w:r w:rsidRPr="000B1AFE">
            <w:rPr>
              <w:i/>
              <w:iCs/>
              <w:sz w:val="24"/>
              <w:szCs w:val="24"/>
            </w:rPr>
            <w:t>American Journal of Humanities and Social Sciences Research</w:t>
          </w:r>
          <w:r w:rsidRPr="000B1AFE">
            <w:rPr>
              <w:sz w:val="24"/>
              <w:szCs w:val="24"/>
            </w:rPr>
            <w:t>. www.ajhssr.com</w:t>
          </w:r>
        </w:p>
        <w:p w14:paraId="4CBCCD6D"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Khoidin. (2019). </w:t>
          </w:r>
          <w:r w:rsidRPr="000B1AFE">
            <w:rPr>
              <w:i/>
              <w:iCs/>
              <w:sz w:val="24"/>
              <w:szCs w:val="24"/>
            </w:rPr>
            <w:t>Hukum Penanaman Modal</w:t>
          </w:r>
          <w:r w:rsidRPr="000B1AFE">
            <w:rPr>
              <w:sz w:val="24"/>
              <w:szCs w:val="24"/>
            </w:rPr>
            <w:t>.</w:t>
          </w:r>
        </w:p>
        <w:p w14:paraId="0221BAF3"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Kumar Sarker, S., Ruhul Amin, M., &amp; Abdul Halim, M. (2017). </w:t>
          </w:r>
          <w:r w:rsidRPr="000B1AFE">
            <w:rPr>
              <w:i/>
              <w:iCs/>
              <w:sz w:val="24"/>
              <w:szCs w:val="24"/>
            </w:rPr>
            <w:t>Impact Of Worker’s Remittance On Foreign Exchange Reserve In Bangladesh</w:t>
          </w:r>
          <w:r w:rsidRPr="000B1AFE">
            <w:rPr>
              <w:sz w:val="24"/>
              <w:szCs w:val="24"/>
            </w:rPr>
            <w:t xml:space="preserve"> (Vol. 11, Issue 2). https://www.researchgate.net/publication/358270805</w:t>
          </w:r>
        </w:p>
        <w:p w14:paraId="630DA26A"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Labor Migration in Asia: Trends, Skills Certification, and Seasonal Work. (2024). In </w:t>
          </w:r>
          <w:r w:rsidRPr="000B1AFE">
            <w:rPr>
              <w:i/>
              <w:iCs/>
              <w:sz w:val="24"/>
              <w:szCs w:val="24"/>
            </w:rPr>
            <w:t>Labor Migration in Asia: Trends, Skills Certification, and Seasonal Work</w:t>
          </w:r>
          <w:r w:rsidRPr="000B1AFE">
            <w:rPr>
              <w:sz w:val="24"/>
              <w:szCs w:val="24"/>
            </w:rPr>
            <w:t>. Asian Development Bank Institute. https://doi.org/10.56506/xlct8213</w:t>
          </w:r>
        </w:p>
        <w:p w14:paraId="1D1CA7CF"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Maesyaroh, W. U., Ekonomika, F., Bisnis, D., Kristen, U., &amp; Wacana, S. (2024). Analisis Faktor-faktor yang Mempengaruhi Cadangan Devisa. In </w:t>
          </w:r>
          <w:r w:rsidRPr="000B1AFE">
            <w:rPr>
              <w:i/>
              <w:iCs/>
              <w:sz w:val="24"/>
              <w:szCs w:val="24"/>
            </w:rPr>
            <w:t>Jurnal Ilmu Ekonomi (JIE)</w:t>
          </w:r>
          <w:r w:rsidRPr="000B1AFE">
            <w:rPr>
              <w:sz w:val="24"/>
              <w:szCs w:val="24"/>
            </w:rPr>
            <w:t xml:space="preserve"> (Vol. 08, Issue 01).</w:t>
          </w:r>
        </w:p>
        <w:p w14:paraId="6F5E7EDF"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Meita Murni Lestari, L. M. T., &amp; Yogi Swara, I. W. (2016). Pengaruh Penanaman Modal Asing Terhadap Cadangan Devisa Di Indonesia Studi Sebelum Dan Sesudah Krisis Global. </w:t>
          </w:r>
          <w:r w:rsidRPr="000B1AFE">
            <w:rPr>
              <w:i/>
              <w:iCs/>
              <w:sz w:val="24"/>
              <w:szCs w:val="24"/>
            </w:rPr>
            <w:t>E-Jurnal Ekonomi Pembangunan Universitas Udayana</w:t>
          </w:r>
          <w:r w:rsidRPr="000B1AFE">
            <w:rPr>
              <w:sz w:val="24"/>
              <w:szCs w:val="24"/>
            </w:rPr>
            <w:t>.</w:t>
          </w:r>
        </w:p>
        <w:p w14:paraId="17362694"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Muhana, R., Candra, H., &amp; Aghsilni. (2024). </w:t>
          </w:r>
          <w:r w:rsidRPr="000B1AFE">
            <w:rPr>
              <w:i/>
              <w:iCs/>
              <w:sz w:val="24"/>
              <w:szCs w:val="24"/>
            </w:rPr>
            <w:t>Pengaruh Remitansi TKI Dan Investasi Asing Terhadap Cadangan Devisa Indonesia</w:t>
          </w:r>
          <w:r w:rsidRPr="000B1AFE">
            <w:rPr>
              <w:sz w:val="24"/>
              <w:szCs w:val="24"/>
            </w:rPr>
            <w:t>.</w:t>
          </w:r>
        </w:p>
        <w:p w14:paraId="1372AF18"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Murni, A., Usman, U., Abu Bakar, J., &amp; Rahmah, M. (2021). </w:t>
          </w:r>
          <w:r w:rsidRPr="000B1AFE">
            <w:rPr>
              <w:i/>
              <w:iCs/>
              <w:sz w:val="24"/>
              <w:szCs w:val="24"/>
            </w:rPr>
            <w:t>The Influence Of The Number Of Foreign Tourists And Foreign Debt To Foreign Exchange Reserves In Indonesia</w:t>
          </w:r>
          <w:r w:rsidRPr="000B1AFE">
            <w:rPr>
              <w:sz w:val="24"/>
              <w:szCs w:val="24"/>
            </w:rPr>
            <w:t>. http://ojs.unimal.ac.id/index.php/Jompe</w:t>
          </w:r>
        </w:p>
        <w:p w14:paraId="31B3EF75"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Nani. (2022). </w:t>
          </w:r>
          <w:r w:rsidRPr="000B1AFE">
            <w:rPr>
              <w:i/>
              <w:iCs/>
              <w:sz w:val="24"/>
              <w:szCs w:val="24"/>
            </w:rPr>
            <w:t>STEP BY STEP Analisis Regresi Data Panel Menggunakan Eviews</w:t>
          </w:r>
          <w:r w:rsidRPr="000B1AFE">
            <w:rPr>
              <w:sz w:val="24"/>
              <w:szCs w:val="24"/>
            </w:rPr>
            <w:t>.</w:t>
          </w:r>
        </w:p>
        <w:p w14:paraId="5EF616C5"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Ngurah, G., Apriadi, S., &amp; Setiawina, N. D. (2022). </w:t>
          </w:r>
          <w:r w:rsidRPr="000B1AFE">
            <w:rPr>
              <w:i/>
              <w:iCs/>
              <w:sz w:val="24"/>
              <w:szCs w:val="24"/>
            </w:rPr>
            <w:t>E-Jurnal Ekonomi Dan Bisnis Universitas Udayana</w:t>
          </w:r>
          <w:r w:rsidRPr="000B1AFE">
            <w:rPr>
              <w:sz w:val="24"/>
              <w:szCs w:val="24"/>
            </w:rPr>
            <w:t xml:space="preserve">. </w:t>
          </w:r>
          <w:r w:rsidRPr="000B1AFE">
            <w:rPr>
              <w:i/>
              <w:iCs/>
              <w:sz w:val="24"/>
              <w:szCs w:val="24"/>
            </w:rPr>
            <w:t>11</w:t>
          </w:r>
          <w:r w:rsidRPr="000B1AFE">
            <w:rPr>
              <w:sz w:val="24"/>
              <w:szCs w:val="24"/>
            </w:rPr>
            <w:t>(05), 535–546. https://ojs.unud.ac.id/index.php/EEB/</w:t>
          </w:r>
        </w:p>
        <w:p w14:paraId="21D47768"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Onny Amirsyah, N. K. (2020). </w:t>
          </w:r>
          <w:r w:rsidRPr="000B1AFE">
            <w:rPr>
              <w:i/>
              <w:iCs/>
              <w:sz w:val="24"/>
              <w:szCs w:val="24"/>
            </w:rPr>
            <w:t>Analisis Faktor Penentu Investasi Asing Langsung Di Sepuluh Negara Asean, Jepang, Korea Selatan, Dan China</w:t>
          </w:r>
          <w:r w:rsidRPr="000B1AFE">
            <w:rPr>
              <w:sz w:val="24"/>
              <w:szCs w:val="24"/>
            </w:rPr>
            <w:t>.</w:t>
          </w:r>
        </w:p>
        <w:p w14:paraId="6EF5A393"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Patone, C. D., Kumaat, R. J., &amp; Mandeij, D. (n.d.). </w:t>
          </w:r>
          <w:r w:rsidRPr="000B1AFE">
            <w:rPr>
              <w:i/>
              <w:iCs/>
              <w:sz w:val="24"/>
              <w:szCs w:val="24"/>
            </w:rPr>
            <w:t>Analisis Daya Saing Ekspor Sawit Indonesia Ke Negara Tujuan Ekspor Tiongkok Dan India</w:t>
          </w:r>
          <w:r w:rsidRPr="000B1AFE">
            <w:rPr>
              <w:sz w:val="24"/>
              <w:szCs w:val="24"/>
            </w:rPr>
            <w:t>.</w:t>
          </w:r>
        </w:p>
        <w:p w14:paraId="60913397" w14:textId="77777777" w:rsidR="007F1B58" w:rsidRPr="000B1AFE" w:rsidRDefault="007F1B58" w:rsidP="007F1B58">
          <w:pPr>
            <w:autoSpaceDE w:val="0"/>
            <w:autoSpaceDN w:val="0"/>
            <w:ind w:left="567" w:hanging="567"/>
            <w:jc w:val="both"/>
            <w:rPr>
              <w:sz w:val="24"/>
              <w:szCs w:val="24"/>
            </w:rPr>
          </w:pPr>
          <w:r w:rsidRPr="000B1AFE">
            <w:rPr>
              <w:sz w:val="24"/>
              <w:szCs w:val="24"/>
            </w:rPr>
            <w:lastRenderedPageBreak/>
            <w:t xml:space="preserve">Pebriyanti, I., &amp; Khoirudin, R. (2024). Analysis of Determinants of Foreign Exchange Reserves in ASEAN-5 Countries. </w:t>
          </w:r>
          <w:r w:rsidRPr="000B1AFE">
            <w:rPr>
              <w:i/>
              <w:iCs/>
              <w:sz w:val="24"/>
              <w:szCs w:val="24"/>
            </w:rPr>
            <w:t>BALANCE: Economic, Business, Management and Accounting Journal</w:t>
          </w:r>
          <w:r w:rsidRPr="000B1AFE">
            <w:rPr>
              <w:sz w:val="24"/>
              <w:szCs w:val="24"/>
            </w:rPr>
            <w:t xml:space="preserve">, </w:t>
          </w:r>
          <w:r w:rsidRPr="000B1AFE">
            <w:rPr>
              <w:i/>
              <w:iCs/>
              <w:sz w:val="24"/>
              <w:szCs w:val="24"/>
            </w:rPr>
            <w:t>21</w:t>
          </w:r>
          <w:r w:rsidRPr="000B1AFE">
            <w:rPr>
              <w:sz w:val="24"/>
              <w:szCs w:val="24"/>
            </w:rPr>
            <w:t>(1), 116–130. https://doi.org/10.30651/blc.v21i1.22113</w:t>
          </w:r>
        </w:p>
        <w:p w14:paraId="3D7504FE"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Purba, A. S., Tiawon, H., &amp; Beatris, D. (2023). </w:t>
          </w:r>
          <w:r w:rsidRPr="000B1AFE">
            <w:rPr>
              <w:i/>
              <w:iCs/>
              <w:sz w:val="24"/>
              <w:szCs w:val="24"/>
            </w:rPr>
            <w:t>Purba et al-Aspects influencing the foreign exchange reserves …… | 84 Aspects influencing the foreign exchange reserves of Indonesia</w:t>
          </w:r>
          <w:r w:rsidRPr="000B1AFE">
            <w:rPr>
              <w:sz w:val="24"/>
              <w:szCs w:val="24"/>
            </w:rPr>
            <w:t xml:space="preserve">. </w:t>
          </w:r>
          <w:r w:rsidRPr="000B1AFE">
            <w:rPr>
              <w:i/>
              <w:iCs/>
              <w:sz w:val="24"/>
              <w:szCs w:val="24"/>
            </w:rPr>
            <w:t>Volume 9, No 2</w:t>
          </w:r>
          <w:r w:rsidRPr="000B1AFE">
            <w:rPr>
              <w:sz w:val="24"/>
              <w:szCs w:val="24"/>
            </w:rPr>
            <w:t>.</w:t>
          </w:r>
        </w:p>
        <w:p w14:paraId="4D4D55A5"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Rasyid, A., Eva Yuniarti Utami, Jamaluddin Majid, Prety Diawati, &amp; Erasma. (2023). Analysis Of The Influence Of Foreign Capital Investment, Exports, Imports And Foreign Debt On Foreign Exchange Reserves Of Asean Countries. </w:t>
          </w:r>
          <w:r w:rsidRPr="000B1AFE">
            <w:rPr>
              <w:i/>
              <w:iCs/>
              <w:sz w:val="24"/>
              <w:szCs w:val="24"/>
            </w:rPr>
            <w:t>JEMSI (Jurnal Ekonomi, Manajemen, Dan Akuntansi)</w:t>
          </w:r>
          <w:r w:rsidRPr="000B1AFE">
            <w:rPr>
              <w:sz w:val="24"/>
              <w:szCs w:val="24"/>
            </w:rPr>
            <w:t xml:space="preserve">, </w:t>
          </w:r>
          <w:r w:rsidRPr="000B1AFE">
            <w:rPr>
              <w:i/>
              <w:iCs/>
              <w:sz w:val="24"/>
              <w:szCs w:val="24"/>
            </w:rPr>
            <w:t>9</w:t>
          </w:r>
          <w:r w:rsidRPr="000B1AFE">
            <w:rPr>
              <w:sz w:val="24"/>
              <w:szCs w:val="24"/>
            </w:rPr>
            <w:t>(6), 2332–2337. https://doi.org/10.35870/jemsi.v9i6.1632</w:t>
          </w:r>
        </w:p>
        <w:p w14:paraId="2ADB7ED3"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Raza, M. H. (2024). The Effect of Remittances on Economic Expansion and Poverty Reduction: Evidence from Pakistan. </w:t>
          </w:r>
          <w:r w:rsidRPr="000B1AFE">
            <w:rPr>
              <w:i/>
              <w:iCs/>
              <w:sz w:val="24"/>
              <w:szCs w:val="24"/>
            </w:rPr>
            <w:t>International Journal of Management Thinking</w:t>
          </w:r>
          <w:r w:rsidRPr="000B1AFE">
            <w:rPr>
              <w:sz w:val="24"/>
              <w:szCs w:val="24"/>
            </w:rPr>
            <w:t xml:space="preserve">, </w:t>
          </w:r>
          <w:r w:rsidRPr="000B1AFE">
            <w:rPr>
              <w:i/>
              <w:iCs/>
              <w:sz w:val="24"/>
              <w:szCs w:val="24"/>
            </w:rPr>
            <w:t>2</w:t>
          </w:r>
          <w:r w:rsidRPr="000B1AFE">
            <w:rPr>
              <w:sz w:val="24"/>
              <w:szCs w:val="24"/>
            </w:rPr>
            <w:t>(1), 74–91. https://doi.org/10.56868/ijmt.v2i1.47</w:t>
          </w:r>
        </w:p>
        <w:p w14:paraId="419D1D00"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Sahrul, M., Paharsah, G., &amp; Ananda Putri, Y. (2023). </w:t>
          </w:r>
          <w:r w:rsidRPr="000B1AFE">
            <w:rPr>
              <w:i/>
              <w:iCs/>
              <w:sz w:val="24"/>
              <w:szCs w:val="24"/>
            </w:rPr>
            <w:t>Pengaruh Ekspor, Impor, Nilai Tukar, Dan Utang Luar Negeri Terhadap Cadangan Devisa Negara ASEAN</w:t>
          </w:r>
          <w:r w:rsidRPr="000B1AFE">
            <w:rPr>
              <w:sz w:val="24"/>
              <w:szCs w:val="24"/>
            </w:rPr>
            <w:t>. http://jurnal.unsil.ac.id/index.php/welfare</w:t>
          </w:r>
        </w:p>
        <w:p w14:paraId="436E5341"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Sander, C., &amp; Maimbo Munzele, S. (2005). </w:t>
          </w:r>
          <w:r w:rsidRPr="000B1AFE">
            <w:rPr>
              <w:i/>
              <w:iCs/>
              <w:sz w:val="24"/>
              <w:szCs w:val="24"/>
            </w:rPr>
            <w:t>Remittances Development Impact And Future Prospects Edited By Samuel Munzele Maimbo And Dilip Ratha</w:t>
          </w:r>
          <w:r w:rsidRPr="000B1AFE">
            <w:rPr>
              <w:sz w:val="24"/>
              <w:szCs w:val="24"/>
            </w:rPr>
            <w:t>.</w:t>
          </w:r>
        </w:p>
        <w:p w14:paraId="7A7CBEAD"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Saraan, M. A. B., Suriani, S., &amp; Nasir, M. (2023). The Effect of Foreign Direct Investment and Foreign Exchange Reserves on Economic Growth in ASEAN Countries. </w:t>
          </w:r>
          <w:r w:rsidRPr="000B1AFE">
            <w:rPr>
              <w:i/>
              <w:iCs/>
              <w:sz w:val="24"/>
              <w:szCs w:val="24"/>
            </w:rPr>
            <w:t>International Journal of Finance, Economics and Business</w:t>
          </w:r>
          <w:r w:rsidRPr="000B1AFE">
            <w:rPr>
              <w:sz w:val="24"/>
              <w:szCs w:val="24"/>
            </w:rPr>
            <w:t xml:space="preserve">, </w:t>
          </w:r>
          <w:r w:rsidRPr="000B1AFE">
            <w:rPr>
              <w:i/>
              <w:iCs/>
              <w:sz w:val="24"/>
              <w:szCs w:val="24"/>
            </w:rPr>
            <w:t>2</w:t>
          </w:r>
          <w:r w:rsidRPr="000B1AFE">
            <w:rPr>
              <w:sz w:val="24"/>
              <w:szCs w:val="24"/>
            </w:rPr>
            <w:t>(1), 76–83. https://doi.org/10.56225/ijfeb.v2i1.143</w:t>
          </w:r>
        </w:p>
        <w:p w14:paraId="1EABD96D"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Saraswati, R. I., Harianto, H., &amp; Rifin, A. (2023). Factors Affecting Forest Product Exports. </w:t>
          </w:r>
          <w:r w:rsidRPr="000B1AFE">
            <w:rPr>
              <w:i/>
              <w:iCs/>
              <w:sz w:val="24"/>
              <w:szCs w:val="24"/>
            </w:rPr>
            <w:t>Jurnal Manajemen Dan Agribisnis</w:t>
          </w:r>
          <w:r w:rsidRPr="000B1AFE">
            <w:rPr>
              <w:sz w:val="24"/>
              <w:szCs w:val="24"/>
            </w:rPr>
            <w:t>. https://doi.org/10.17358/jma.20.1.22</w:t>
          </w:r>
        </w:p>
        <w:p w14:paraId="41C0F7B3"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Solikin, &amp; Warjiyo, P. (2003). </w:t>
          </w:r>
          <w:r w:rsidRPr="000B1AFE">
            <w:rPr>
              <w:i/>
              <w:iCs/>
              <w:sz w:val="24"/>
              <w:szCs w:val="24"/>
            </w:rPr>
            <w:t>Kebijakan Moneter di Indonesia</w:t>
          </w:r>
          <w:r w:rsidRPr="000B1AFE">
            <w:rPr>
              <w:sz w:val="24"/>
              <w:szCs w:val="24"/>
            </w:rPr>
            <w:t>.</w:t>
          </w:r>
        </w:p>
        <w:p w14:paraId="22EB6459"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Suhermanto. (2022). Pengaruh Ekspor Terhadap Cadangan Devisa Di Empat Negara Islam: Indonesia - Malaysia -Turki - Uni Emirat Arab. </w:t>
          </w:r>
          <w:r w:rsidRPr="000B1AFE">
            <w:rPr>
              <w:i/>
              <w:iCs/>
              <w:sz w:val="24"/>
              <w:szCs w:val="24"/>
            </w:rPr>
            <w:t>Jurnal Muamalat Indonesia - JMI</w:t>
          </w:r>
          <w:r w:rsidRPr="000B1AFE">
            <w:rPr>
              <w:sz w:val="24"/>
              <w:szCs w:val="24"/>
            </w:rPr>
            <w:t xml:space="preserve">, </w:t>
          </w:r>
          <w:r w:rsidRPr="000B1AFE">
            <w:rPr>
              <w:i/>
              <w:iCs/>
              <w:sz w:val="24"/>
              <w:szCs w:val="24"/>
            </w:rPr>
            <w:t>2</w:t>
          </w:r>
          <w:r w:rsidRPr="000B1AFE">
            <w:rPr>
              <w:sz w:val="24"/>
              <w:szCs w:val="24"/>
            </w:rPr>
            <w:t>(2). https://doi.org/10.26418/jmi.v2i2.57979</w:t>
          </w:r>
        </w:p>
        <w:p w14:paraId="3B756766"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Sukma Apriadi, G. N., &amp; Djinar Setiawina, N. (2022). </w:t>
          </w:r>
          <w:r w:rsidRPr="000B1AFE">
            <w:rPr>
              <w:i/>
              <w:iCs/>
              <w:sz w:val="24"/>
              <w:szCs w:val="24"/>
            </w:rPr>
            <w:t>Pengaruh Ekspor, Impor, Inflasi, Dan Kebijakan Acfta Terhadap Cadangan Devisa ASEAN-5 Periode 2005 – 2019</w:t>
          </w:r>
          <w:r w:rsidRPr="000B1AFE">
            <w:rPr>
              <w:sz w:val="24"/>
              <w:szCs w:val="24"/>
            </w:rPr>
            <w:t xml:space="preserve">. </w:t>
          </w:r>
          <w:r w:rsidRPr="000B1AFE">
            <w:rPr>
              <w:i/>
              <w:iCs/>
              <w:sz w:val="24"/>
              <w:szCs w:val="24"/>
            </w:rPr>
            <w:t>11</w:t>
          </w:r>
          <w:r w:rsidRPr="000B1AFE">
            <w:rPr>
              <w:sz w:val="24"/>
              <w:szCs w:val="24"/>
            </w:rPr>
            <w:t>(05), 535–546. https://ojs.unud.ac.id/index.php/EEB/</w:t>
          </w:r>
        </w:p>
        <w:p w14:paraId="220C8F52"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Sun, D. (2024). </w:t>
          </w:r>
          <w:r w:rsidRPr="000B1AFE">
            <w:rPr>
              <w:i/>
              <w:iCs/>
              <w:sz w:val="24"/>
              <w:szCs w:val="24"/>
            </w:rPr>
            <w:t>Frontiers in Business, Economics and Management The Impact Factors Study on the Appropriate Scale of China’s Foreign Exchange Reserves</w:t>
          </w:r>
          <w:r w:rsidRPr="000B1AFE">
            <w:rPr>
              <w:sz w:val="24"/>
              <w:szCs w:val="24"/>
            </w:rPr>
            <w:t>.</w:t>
          </w:r>
        </w:p>
        <w:p w14:paraId="56E2F968"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Tafara, L., Joan Kumaat, R., &amp; Th Maramis, M. B. (2022). </w:t>
          </w:r>
          <w:r w:rsidRPr="000B1AFE">
            <w:rPr>
              <w:i/>
              <w:iCs/>
              <w:sz w:val="24"/>
              <w:szCs w:val="24"/>
            </w:rPr>
            <w:t>Analisis Faktor-Faktor Yang Mempengaruhi Cadangan Devisa Indonesia Periode 2011-2020</w:t>
          </w:r>
          <w:r w:rsidRPr="000B1AFE">
            <w:rPr>
              <w:sz w:val="24"/>
              <w:szCs w:val="24"/>
            </w:rPr>
            <w:t>.</w:t>
          </w:r>
        </w:p>
        <w:p w14:paraId="5C86E299" w14:textId="77777777" w:rsidR="007F1B58" w:rsidRPr="000B1AFE" w:rsidRDefault="007F1B58" w:rsidP="007F1B58">
          <w:pPr>
            <w:autoSpaceDE w:val="0"/>
            <w:autoSpaceDN w:val="0"/>
            <w:ind w:left="567" w:hanging="567"/>
            <w:jc w:val="both"/>
            <w:rPr>
              <w:sz w:val="24"/>
              <w:szCs w:val="24"/>
            </w:rPr>
          </w:pPr>
          <w:r w:rsidRPr="000B1AFE">
            <w:rPr>
              <w:sz w:val="24"/>
              <w:szCs w:val="24"/>
            </w:rPr>
            <w:t xml:space="preserve">Wang, H. (2023). </w:t>
          </w:r>
          <w:r w:rsidRPr="000B1AFE">
            <w:rPr>
              <w:i/>
              <w:iCs/>
              <w:sz w:val="24"/>
              <w:szCs w:val="24"/>
            </w:rPr>
            <w:t>Frontiers in Business, Economics and Management Co-movement Analysis of Foreign Exchange Reserve Volatility in BRICS Countries</w:t>
          </w:r>
          <w:r w:rsidRPr="000B1AFE">
            <w:rPr>
              <w:sz w:val="24"/>
              <w:szCs w:val="24"/>
            </w:rPr>
            <w:t>.</w:t>
          </w:r>
        </w:p>
        <w:p w14:paraId="0DE14875" w14:textId="6F09AF34" w:rsidR="007F1B58" w:rsidRPr="007F1B58" w:rsidRDefault="007F1B58" w:rsidP="00731046">
          <w:pPr>
            <w:autoSpaceDE w:val="0"/>
            <w:autoSpaceDN w:val="0"/>
            <w:ind w:left="567" w:hanging="567"/>
            <w:jc w:val="both"/>
            <w:rPr>
              <w:sz w:val="24"/>
              <w:szCs w:val="24"/>
            </w:rPr>
          </w:pPr>
          <w:r w:rsidRPr="000B1AFE">
            <w:rPr>
              <w:sz w:val="24"/>
              <w:szCs w:val="24"/>
            </w:rPr>
            <w:t xml:space="preserve">Zhang, J. (2021). Analysis on the impact of the foreign exchange reserves of China on its macro economy. </w:t>
          </w:r>
          <w:r w:rsidRPr="000B1AFE">
            <w:rPr>
              <w:i/>
              <w:iCs/>
              <w:sz w:val="24"/>
              <w:szCs w:val="24"/>
            </w:rPr>
            <w:t>E3S Web of Conferences</w:t>
          </w:r>
          <w:r w:rsidRPr="000B1AFE">
            <w:rPr>
              <w:sz w:val="24"/>
              <w:szCs w:val="24"/>
            </w:rPr>
            <w:t xml:space="preserve">, </w:t>
          </w:r>
          <w:r w:rsidRPr="000B1AFE">
            <w:rPr>
              <w:i/>
              <w:iCs/>
              <w:sz w:val="24"/>
              <w:szCs w:val="24"/>
            </w:rPr>
            <w:t>233</w:t>
          </w:r>
          <w:r w:rsidRPr="000B1AFE">
            <w:rPr>
              <w:sz w:val="24"/>
              <w:szCs w:val="24"/>
            </w:rPr>
            <w:t>. https://doi.org/10.1051/e3sconf/202123301159</w:t>
          </w:r>
        </w:p>
      </w:sdtContent>
    </w:sdt>
    <w:sectPr w:rsidR="007F1B58" w:rsidRPr="007F1B58" w:rsidSect="006D6CCB">
      <w:headerReference w:type="even" r:id="rId12"/>
      <w:headerReference w:type="default" r:id="rId13"/>
      <w:footerReference w:type="even" r:id="rId14"/>
      <w:footerReference w:type="default" r:id="rId15"/>
      <w:headerReference w:type="first" r:id="rId16"/>
      <w:footerReference w:type="first" r:id="rId17"/>
      <w:pgSz w:w="11907" w:h="16839"/>
      <w:pgMar w:top="1134" w:right="1134" w:bottom="1134" w:left="1701" w:header="709" w:footer="709" w:gutter="0"/>
      <w:pgNumType w:start="6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74456" w14:textId="77777777" w:rsidR="001C1497" w:rsidRDefault="001C1497">
      <w:pPr>
        <w:spacing w:after="0" w:line="240" w:lineRule="auto"/>
      </w:pPr>
      <w:r>
        <w:separator/>
      </w:r>
    </w:p>
  </w:endnote>
  <w:endnote w:type="continuationSeparator" w:id="0">
    <w:p w14:paraId="3322A81C" w14:textId="77777777" w:rsidR="001C1497" w:rsidRDefault="001C1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84862DF-AE6E-483B-8634-DDC6C03C2C97}"/>
    <w:embedBold r:id="rId2" w:fontKey="{8C806769-2EDD-4320-B961-245D1A22718B}"/>
    <w:embedItalic r:id="rId3" w:fontKey="{1B8E9C14-1D39-4C16-AB15-5FD78BC38FA9}"/>
  </w:font>
  <w:font w:name="Cambria">
    <w:panose1 w:val="02040503050406030204"/>
    <w:charset w:val="00"/>
    <w:family w:val="roman"/>
    <w:pitch w:val="variable"/>
    <w:sig w:usb0="E00006FF" w:usb1="420024FF" w:usb2="02000000" w:usb3="00000000" w:csb0="0000019F" w:csb1="00000000"/>
    <w:embedRegular r:id="rId4" w:fontKey="{7070BC0F-C775-4A85-8472-8252A00796EA}"/>
    <w:embedItalic r:id="rId5" w:fontKey="{F8AF9623-726C-4F30-89D3-7D3D42293BF3}"/>
  </w:font>
  <w:font w:name="Tahoma">
    <w:panose1 w:val="020B0604030504040204"/>
    <w:charset w:val="00"/>
    <w:family w:val="swiss"/>
    <w:pitch w:val="variable"/>
    <w:sig w:usb0="E1002EFF" w:usb1="C000605B" w:usb2="00000029" w:usb3="00000000" w:csb0="000101FF" w:csb1="00000000"/>
    <w:embedRegular r:id="rId6" w:fontKey="{240E18A4-DF4B-4518-8237-67C558DE5C14}"/>
  </w:font>
  <w:font w:name="Calibri Light">
    <w:panose1 w:val="020F0302020204030204"/>
    <w:charset w:val="00"/>
    <w:family w:val="swiss"/>
    <w:pitch w:val="variable"/>
    <w:sig w:usb0="E4002EFF" w:usb1="C200247B" w:usb2="00000009" w:usb3="00000000" w:csb0="000001FF" w:csb1="00000000"/>
    <w:embedBold r:id="rId7" w:fontKey="{AA3C6170-A310-4AD9-AF40-36D9DB5E3358}"/>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8" w:fontKey="{0C17AFDB-7F98-4561-85F8-156344A883EA}"/>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embedRegular r:id="rId9" w:fontKey="{59F60D70-54DB-4A7A-B647-F27772316B9B}"/>
  </w:font>
  <w:font w:name="TimesNewRomanPSMT">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embedBold r:id="rId10" w:fontKey="{087CF6D2-629F-4C66-A118-5F2E304B45FD}"/>
  </w:font>
  <w:font w:name="Cambria Math">
    <w:panose1 w:val="02040503050406030204"/>
    <w:charset w:val="00"/>
    <w:family w:val="roman"/>
    <w:pitch w:val="variable"/>
    <w:sig w:usb0="E00006FF" w:usb1="420024FF" w:usb2="02000000" w:usb3="00000000" w:csb0="0000019F" w:csb1="00000000"/>
    <w:embedItalic r:id="rId11" w:fontKey="{12496862-6D71-40CF-86E1-1538324893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2C349" w14:textId="6F96AF41" w:rsidR="002D3CB4" w:rsidRDefault="001C1497">
    <w:pPr>
      <w:pBdr>
        <w:top w:val="nil"/>
        <w:left w:val="nil"/>
        <w:bottom w:val="nil"/>
        <w:right w:val="nil"/>
        <w:between w:val="nil"/>
      </w:pBdr>
      <w:tabs>
        <w:tab w:val="center" w:pos="4680"/>
        <w:tab w:val="right" w:pos="9360"/>
      </w:tabs>
      <w:spacing w:after="0" w:line="240" w:lineRule="auto"/>
      <w:jc w:val="right"/>
      <w:rPr>
        <w:color w:val="000000"/>
      </w:rPr>
    </w:pPr>
    <w:r>
      <w:rPr>
        <w:color w:val="000000"/>
        <w:sz w:val="20"/>
        <w:szCs w:val="20"/>
      </w:rPr>
      <w:t xml:space="preserve">Cita Ekonomika: Jurnal Ilmu Ekonomi | Vol. </w:t>
    </w:r>
    <w:r w:rsidR="00891022">
      <w:rPr>
        <w:color w:val="000000"/>
        <w:sz w:val="20"/>
        <w:szCs w:val="20"/>
      </w:rPr>
      <w:t>19</w:t>
    </w:r>
    <w:r>
      <w:rPr>
        <w:color w:val="000000"/>
        <w:sz w:val="20"/>
        <w:szCs w:val="20"/>
      </w:rPr>
      <w:t xml:space="preserve"> (</w:t>
    </w:r>
    <w:r w:rsidR="00891022">
      <w:rPr>
        <w:color w:val="000000"/>
        <w:sz w:val="20"/>
        <w:szCs w:val="20"/>
      </w:rPr>
      <w:t>2</w:t>
    </w:r>
    <w:r>
      <w:rPr>
        <w:color w:val="000000"/>
        <w:sz w:val="20"/>
        <w:szCs w:val="20"/>
      </w:rPr>
      <w:t>) 202</w:t>
    </w:r>
    <w:r w:rsidR="00891022">
      <w:rPr>
        <w:color w:val="000000"/>
        <w:sz w:val="20"/>
        <w:szCs w:val="20"/>
      </w:rPr>
      <w:t>5</w:t>
    </w:r>
    <w:r>
      <w:rPr>
        <w:color w:val="000000"/>
        <w:sz w:val="20"/>
        <w:szCs w:val="20"/>
      </w:rPr>
      <w:t xml:space="preserve"> | </w:t>
    </w:r>
    <w:r>
      <w:rPr>
        <w:color w:val="000000"/>
        <w:sz w:val="20"/>
        <w:szCs w:val="20"/>
      </w:rPr>
      <w:fldChar w:fldCharType="begin"/>
    </w:r>
    <w:r>
      <w:rPr>
        <w:color w:val="000000"/>
        <w:sz w:val="20"/>
        <w:szCs w:val="20"/>
      </w:rPr>
      <w:instrText>PAGE</w:instrText>
    </w:r>
    <w:r>
      <w:rPr>
        <w:color w:val="000000"/>
        <w:sz w:val="20"/>
        <w:szCs w:val="20"/>
      </w:rPr>
      <w:fldChar w:fldCharType="separate"/>
    </w:r>
    <w:r w:rsidR="00FA14FB">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AB49B" w14:textId="26F6A05D" w:rsidR="002D3CB4" w:rsidRDefault="001C1497">
    <w:pPr>
      <w:pBdr>
        <w:top w:val="nil"/>
        <w:left w:val="nil"/>
        <w:bottom w:val="nil"/>
        <w:right w:val="nil"/>
        <w:between w:val="nil"/>
      </w:pBdr>
      <w:tabs>
        <w:tab w:val="center" w:pos="4680"/>
        <w:tab w:val="right" w:pos="9360"/>
      </w:tabs>
      <w:spacing w:after="0" w:line="240" w:lineRule="auto"/>
      <w:jc w:val="right"/>
      <w:rPr>
        <w:color w:val="000000"/>
      </w:rPr>
    </w:pPr>
    <w:r>
      <w:rPr>
        <w:color w:val="000000"/>
        <w:sz w:val="20"/>
        <w:szCs w:val="20"/>
      </w:rPr>
      <w:t xml:space="preserve">Cita Ekonomika: Jurnal Ilmu Ekonomi | Vol. </w:t>
    </w:r>
    <w:r w:rsidR="00891022">
      <w:rPr>
        <w:color w:val="000000"/>
        <w:sz w:val="20"/>
        <w:szCs w:val="20"/>
      </w:rPr>
      <w:t>19</w:t>
    </w:r>
    <w:r>
      <w:rPr>
        <w:color w:val="000000"/>
        <w:sz w:val="20"/>
        <w:szCs w:val="20"/>
      </w:rPr>
      <w:t xml:space="preserve"> (</w:t>
    </w:r>
    <w:r w:rsidR="00891022">
      <w:rPr>
        <w:color w:val="000000"/>
        <w:sz w:val="20"/>
        <w:szCs w:val="20"/>
      </w:rPr>
      <w:t>2</w:t>
    </w:r>
    <w:r>
      <w:rPr>
        <w:color w:val="000000"/>
        <w:sz w:val="20"/>
        <w:szCs w:val="20"/>
      </w:rPr>
      <w:t>) 202</w:t>
    </w:r>
    <w:r w:rsidR="0061280D">
      <w:rPr>
        <w:color w:val="000000"/>
        <w:sz w:val="20"/>
        <w:szCs w:val="20"/>
      </w:rPr>
      <w:t>5</w:t>
    </w:r>
    <w:r>
      <w:rPr>
        <w:color w:val="000000"/>
        <w:sz w:val="20"/>
        <w:szCs w:val="20"/>
      </w:rPr>
      <w:t xml:space="preserve"> |</w:t>
    </w:r>
    <w:r>
      <w:rPr>
        <w:color w:val="000000"/>
      </w:rPr>
      <w:t xml:space="preserve"> </w:t>
    </w:r>
    <w:r>
      <w:rPr>
        <w:color w:val="000000"/>
        <w:sz w:val="20"/>
        <w:szCs w:val="20"/>
      </w:rPr>
      <w:fldChar w:fldCharType="begin"/>
    </w:r>
    <w:r>
      <w:rPr>
        <w:color w:val="000000"/>
        <w:sz w:val="20"/>
        <w:szCs w:val="20"/>
      </w:rPr>
      <w:instrText>PAGE</w:instrText>
    </w:r>
    <w:r>
      <w:rPr>
        <w:color w:val="000000"/>
        <w:sz w:val="20"/>
        <w:szCs w:val="20"/>
      </w:rPr>
      <w:fldChar w:fldCharType="separate"/>
    </w:r>
    <w:r w:rsidR="00FA14FB">
      <w:rPr>
        <w:noProof/>
        <w:color w:val="000000"/>
        <w:sz w:val="20"/>
        <w:szCs w:val="20"/>
      </w:rPr>
      <w:t>3</w:t>
    </w:r>
    <w:r>
      <w:rPr>
        <w:color w:val="000000"/>
        <w:sz w:val="20"/>
        <w:szCs w:val="20"/>
      </w:rPr>
      <w:fldChar w:fldCharType="end"/>
    </w:r>
    <w:r>
      <w:rPr>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CE67" w14:textId="1E80729D" w:rsidR="002D3CB4" w:rsidRDefault="00A0544E">
    <w:pPr>
      <w:pBdr>
        <w:top w:val="nil"/>
        <w:left w:val="nil"/>
        <w:bottom w:val="nil"/>
        <w:right w:val="nil"/>
        <w:between w:val="nil"/>
      </w:pBdr>
      <w:tabs>
        <w:tab w:val="center" w:pos="4680"/>
        <w:tab w:val="right" w:pos="9360"/>
      </w:tabs>
      <w:spacing w:after="0" w:line="240" w:lineRule="auto"/>
      <w:jc w:val="right"/>
      <w:rPr>
        <w:color w:val="000000"/>
        <w:sz w:val="18"/>
        <w:szCs w:val="18"/>
      </w:rPr>
    </w:pPr>
    <w:r>
      <w:rPr>
        <w:color w:val="000000"/>
        <w:sz w:val="20"/>
        <w:szCs w:val="20"/>
      </w:rPr>
      <w:t xml:space="preserve">Cita Ekonomi : Jurnal </w:t>
    </w:r>
    <w:r w:rsidR="009B4749">
      <w:rPr>
        <w:color w:val="000000"/>
        <w:sz w:val="20"/>
        <w:szCs w:val="20"/>
      </w:rPr>
      <w:t>Ilmu Ekonomi</w:t>
    </w:r>
    <w:r w:rsidR="001C1497">
      <w:rPr>
        <w:color w:val="000000"/>
        <w:sz w:val="20"/>
        <w:szCs w:val="20"/>
      </w:rPr>
      <w:t xml:space="preserve"> | </w:t>
    </w:r>
    <w:r w:rsidR="001D3D94">
      <w:rPr>
        <w:color w:val="000000"/>
        <w:sz w:val="20"/>
        <w:szCs w:val="20"/>
      </w:rPr>
      <w:t>Vol. 19</w:t>
    </w:r>
    <w:r w:rsidR="00BB6652">
      <w:rPr>
        <w:color w:val="000000"/>
        <w:sz w:val="20"/>
        <w:szCs w:val="20"/>
      </w:rPr>
      <w:t xml:space="preserve"> </w:t>
    </w:r>
    <w:r w:rsidR="001D3D94">
      <w:rPr>
        <w:color w:val="000000"/>
        <w:sz w:val="20"/>
        <w:szCs w:val="20"/>
      </w:rPr>
      <w:t xml:space="preserve">(2) </w:t>
    </w:r>
    <w:r w:rsidR="001C1497">
      <w:rPr>
        <w:color w:val="000000"/>
        <w:sz w:val="20"/>
        <w:szCs w:val="20"/>
      </w:rPr>
      <w:t>|</w:t>
    </w:r>
    <w:r w:rsidR="001D3D94">
      <w:rPr>
        <w:color w:val="000000"/>
        <w:sz w:val="20"/>
        <w:szCs w:val="20"/>
      </w:rPr>
      <w:t xml:space="preserve"> </w:t>
    </w:r>
    <w:r w:rsidR="001C1497">
      <w:rPr>
        <w:color w:val="000000"/>
        <w:sz w:val="18"/>
        <w:szCs w:val="18"/>
      </w:rPr>
      <w:fldChar w:fldCharType="begin"/>
    </w:r>
    <w:r w:rsidR="001C1497">
      <w:rPr>
        <w:color w:val="000000"/>
        <w:sz w:val="18"/>
        <w:szCs w:val="18"/>
      </w:rPr>
      <w:instrText>PAGE</w:instrText>
    </w:r>
    <w:r w:rsidR="001C1497">
      <w:rPr>
        <w:color w:val="000000"/>
        <w:sz w:val="18"/>
        <w:szCs w:val="18"/>
      </w:rPr>
      <w:fldChar w:fldCharType="separate"/>
    </w:r>
    <w:r w:rsidR="006D6CCB">
      <w:rPr>
        <w:noProof/>
        <w:color w:val="000000"/>
        <w:sz w:val="18"/>
        <w:szCs w:val="18"/>
      </w:rPr>
      <w:t>62</w:t>
    </w:r>
    <w:r w:rsidR="001C1497">
      <w:rPr>
        <w:color w:val="000000"/>
        <w:sz w:val="18"/>
        <w:szCs w:val="18"/>
      </w:rPr>
      <w:fldChar w:fldCharType="end"/>
    </w:r>
  </w:p>
  <w:p w14:paraId="09020AE1" w14:textId="77777777" w:rsidR="002D3CB4" w:rsidRDefault="001C1497">
    <w:pPr>
      <w:pBdr>
        <w:top w:val="nil"/>
        <w:left w:val="nil"/>
        <w:bottom w:val="nil"/>
        <w:right w:val="nil"/>
        <w:between w:val="nil"/>
      </w:pBdr>
      <w:tabs>
        <w:tab w:val="center" w:pos="4680"/>
        <w:tab w:val="right" w:pos="9360"/>
        <w:tab w:val="left" w:pos="8070"/>
      </w:tabs>
      <w:spacing w:after="0" w:line="240" w:lineRule="auto"/>
      <w:rPr>
        <w:color w:val="000000"/>
        <w:sz w:val="18"/>
        <w:szCs w:val="18"/>
      </w:rPr>
    </w:pPr>
    <w:r>
      <w:rPr>
        <w:color w:val="000000"/>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798AF" w14:textId="77777777" w:rsidR="001C1497" w:rsidRDefault="001C1497">
      <w:pPr>
        <w:spacing w:after="0" w:line="240" w:lineRule="auto"/>
      </w:pPr>
      <w:r>
        <w:separator/>
      </w:r>
    </w:p>
  </w:footnote>
  <w:footnote w:type="continuationSeparator" w:id="0">
    <w:p w14:paraId="03729C0D" w14:textId="77777777" w:rsidR="001C1497" w:rsidRDefault="001C1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F476C" w14:textId="1B9CBA83" w:rsidR="002D3CB4" w:rsidRDefault="002D3CB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724C0" w14:textId="77777777" w:rsidR="002D3CB4" w:rsidRDefault="002D3CB4">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1369F" w14:textId="77777777" w:rsidR="006D6CCB" w:rsidRDefault="006D6CCB" w:rsidP="006D6CCB">
    <w:pPr>
      <w:pBdr>
        <w:top w:val="nil"/>
        <w:left w:val="nil"/>
        <w:bottom w:val="nil"/>
        <w:right w:val="nil"/>
        <w:between w:val="nil"/>
      </w:pBdr>
      <w:tabs>
        <w:tab w:val="center" w:pos="4680"/>
        <w:tab w:val="right" w:pos="9360"/>
      </w:tabs>
      <w:spacing w:after="0" w:line="240" w:lineRule="auto"/>
      <w:jc w:val="right"/>
      <w:rPr>
        <w:color w:val="000000"/>
        <w:sz w:val="20"/>
        <w:szCs w:val="20"/>
      </w:rPr>
    </w:pPr>
    <w:r>
      <w:rPr>
        <w:noProof/>
      </w:rPr>
      <w:drawing>
        <wp:anchor distT="0" distB="0" distL="114300" distR="114300" simplePos="0" relativeHeight="251671552" behindDoc="0" locked="0" layoutInCell="1" hidden="0" allowOverlap="1" wp14:anchorId="464D80C1" wp14:editId="79D561F5">
          <wp:simplePos x="0" y="0"/>
          <wp:positionH relativeFrom="column">
            <wp:posOffset>12065</wp:posOffset>
          </wp:positionH>
          <wp:positionV relativeFrom="paragraph">
            <wp:posOffset>-254635</wp:posOffset>
          </wp:positionV>
          <wp:extent cx="770021" cy="551796"/>
          <wp:effectExtent l="0" t="0" r="0" b="0"/>
          <wp:wrapNone/>
          <wp:docPr id="70094788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70021" cy="551796"/>
                  </a:xfrm>
                  <a:prstGeom prst="rect">
                    <a:avLst/>
                  </a:prstGeom>
                  <a:ln/>
                </pic:spPr>
              </pic:pic>
            </a:graphicData>
          </a:graphic>
        </wp:anchor>
      </w:drawing>
    </w:r>
    <w:r>
      <w:rPr>
        <w:color w:val="000000"/>
        <w:sz w:val="20"/>
        <w:szCs w:val="20"/>
      </w:rPr>
      <w:t>Cita Ekonomika: Jurnal Ilmu Ekonomi. Vol. 19 (2) 2025 | 62-72</w:t>
    </w:r>
  </w:p>
  <w:p w14:paraId="5324C5C5" w14:textId="4994D348" w:rsidR="002D3CB4" w:rsidRPr="006D6CCB" w:rsidRDefault="006D6CCB" w:rsidP="006D6CCB">
    <w:pPr>
      <w:pBdr>
        <w:top w:val="nil"/>
        <w:left w:val="nil"/>
        <w:bottom w:val="nil"/>
        <w:right w:val="nil"/>
        <w:between w:val="nil"/>
      </w:pBdr>
      <w:tabs>
        <w:tab w:val="center" w:pos="4680"/>
        <w:tab w:val="right" w:pos="9360"/>
      </w:tabs>
      <w:spacing w:after="0" w:line="240" w:lineRule="auto"/>
      <w:jc w:val="right"/>
      <w:rPr>
        <w:color w:val="000000"/>
        <w:sz w:val="20"/>
        <w:szCs w:val="20"/>
      </w:rPr>
    </w:pPr>
    <w:r w:rsidRPr="00C80EF0">
      <w:rPr>
        <w:color w:val="000000"/>
        <w:sz w:val="20"/>
        <w:szCs w:val="20"/>
      </w:rPr>
      <w:t>https://doi.org/10.51125/citaekonomika.v19i</w:t>
    </w:r>
    <w:r>
      <w:rPr>
        <w:color w:val="000000"/>
        <w:sz w:val="20"/>
        <w:szCs w:val="20"/>
      </w:rPr>
      <w:t>2</w:t>
    </w:r>
    <w:r w:rsidRPr="00C80EF0">
      <w:rPr>
        <w:color w:val="000000"/>
        <w:sz w:val="20"/>
        <w:szCs w:val="20"/>
      </w:rPr>
      <w:t>.18923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54EA8"/>
    <w:multiLevelType w:val="hybridMultilevel"/>
    <w:tmpl w:val="238284AC"/>
    <w:lvl w:ilvl="0" w:tplc="CB3E7DA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15:restartNumberingAfterBreak="0">
    <w:nsid w:val="512A7C3F"/>
    <w:multiLevelType w:val="hybridMultilevel"/>
    <w:tmpl w:val="8A7E89B2"/>
    <w:lvl w:ilvl="0" w:tplc="04090011">
      <w:start w:val="1"/>
      <w:numFmt w:val="decimal"/>
      <w:lvlText w:val="%1)"/>
      <w:lvlJc w:val="left"/>
      <w:pPr>
        <w:ind w:left="720" w:hanging="360"/>
      </w:pPr>
      <w:rPr>
        <w:rFonts w:hint="default"/>
      </w:rPr>
    </w:lvl>
    <w:lvl w:ilvl="1" w:tplc="D9065B9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426787"/>
    <w:multiLevelType w:val="multilevel"/>
    <w:tmpl w:val="9F981F3E"/>
    <w:numStyleLink w:val="DaftarSaatini1"/>
  </w:abstractNum>
  <w:abstractNum w:abstractNumId="3" w15:restartNumberingAfterBreak="0">
    <w:nsid w:val="63D11CF5"/>
    <w:multiLevelType w:val="multilevel"/>
    <w:tmpl w:val="9F981F3E"/>
    <w:styleLink w:val="DaftarSaatini1"/>
    <w:lvl w:ilvl="0">
      <w:start w:val="4"/>
      <w:numFmt w:val="decimal"/>
      <w:lvlText w:val="%1."/>
      <w:lvlJc w:val="left"/>
      <w:pPr>
        <w:ind w:left="540" w:hanging="540"/>
      </w:pPr>
      <w:rPr>
        <w:rFonts w:ascii="Times New Roman" w:hAnsi="Times New Roman" w:cs="Times New Roman" w:hint="default"/>
        <w:sz w:val="24"/>
      </w:rPr>
    </w:lvl>
    <w:lvl w:ilvl="1">
      <w:start w:val="1"/>
      <w:numFmt w:val="decimal"/>
      <w:lvlText w:val="%1.%2."/>
      <w:lvlJc w:val="left"/>
      <w:pPr>
        <w:ind w:left="540" w:hanging="54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b/>
        <w:bCs/>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4" w15:restartNumberingAfterBreak="0">
    <w:nsid w:val="69C86CD5"/>
    <w:multiLevelType w:val="multilevel"/>
    <w:tmpl w:val="D4CE6A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bCs/>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06743150">
    <w:abstractNumId w:val="4"/>
  </w:num>
  <w:num w:numId="2" w16cid:durableId="1160926442">
    <w:abstractNumId w:val="1"/>
  </w:num>
  <w:num w:numId="3" w16cid:durableId="555163696">
    <w:abstractNumId w:val="3"/>
  </w:num>
  <w:num w:numId="4" w16cid:durableId="1947538755">
    <w:abstractNumId w:val="2"/>
  </w:num>
  <w:num w:numId="5" w16cid:durableId="1849169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CB4"/>
    <w:rsid w:val="00116B45"/>
    <w:rsid w:val="0017466A"/>
    <w:rsid w:val="00182F3B"/>
    <w:rsid w:val="001B0C95"/>
    <w:rsid w:val="001B6999"/>
    <w:rsid w:val="001C1497"/>
    <w:rsid w:val="001D3D94"/>
    <w:rsid w:val="00296D9A"/>
    <w:rsid w:val="002C343F"/>
    <w:rsid w:val="002D3CB4"/>
    <w:rsid w:val="0048624B"/>
    <w:rsid w:val="005165AF"/>
    <w:rsid w:val="0061280D"/>
    <w:rsid w:val="00646F6E"/>
    <w:rsid w:val="006D6CCB"/>
    <w:rsid w:val="00706AE0"/>
    <w:rsid w:val="00731046"/>
    <w:rsid w:val="007F1B58"/>
    <w:rsid w:val="00891022"/>
    <w:rsid w:val="009B4749"/>
    <w:rsid w:val="00A0544E"/>
    <w:rsid w:val="00AD4D69"/>
    <w:rsid w:val="00BB6652"/>
    <w:rsid w:val="00C80EF0"/>
    <w:rsid w:val="00D57DE1"/>
    <w:rsid w:val="00FA14F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881BD"/>
  <w15:docId w15:val="{27E78275-C8CB-184D-B790-0A860E5B2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color w:val="2E74B5"/>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libri" w:eastAsia="Calibri" w:hAnsi="Calibri" w:cs="Calibri"/>
      <w:b/>
      <w:color w:val="5B9BD5"/>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Calibri" w:hAnsi="Calibri" w:cs="Calibri"/>
      <w:b/>
      <w:color w:val="5B9BD5"/>
      <w:sz w:val="20"/>
      <w:szCs w:val="20"/>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Cambria" w:eastAsia="Cambria" w:hAnsi="Cambria" w:cs="Cambria"/>
      <w:i/>
      <w:color w:val="31849B"/>
      <w:sz w:val="25"/>
      <w:szCs w:val="25"/>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Cambria" w:eastAsia="Cambria" w:hAnsi="Cambria" w:cs="Cambria"/>
      <w:i/>
      <w:color w:val="632423"/>
      <w:sz w:val="24"/>
      <w:szCs w:val="24"/>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Cambria" w:eastAsia="Cambria" w:hAnsi="Cambria" w:cs="Cambria"/>
      <w:i/>
      <w:color w:val="984806"/>
      <w:sz w:val="23"/>
      <w:szCs w:val="23"/>
    </w:rPr>
  </w:style>
  <w:style w:type="paragraph" w:styleId="Heading7">
    <w:name w:val="heading 7"/>
    <w:basedOn w:val="Normal"/>
    <w:next w:val="Normal"/>
    <w:link w:val="Heading7Char"/>
    <w:uiPriority w:val="9"/>
    <w:semiHidden/>
    <w:unhideWhenUsed/>
    <w:qFormat/>
    <w:rsid w:val="00345D67"/>
    <w:pPr>
      <w:keepNext/>
      <w:keepLines/>
      <w:spacing w:before="40" w:after="0"/>
      <w:outlineLvl w:val="6"/>
    </w:pPr>
    <w:rPr>
      <w:rFonts w:ascii="Cambria" w:hAnsi="Cambria"/>
      <w:color w:val="244061"/>
    </w:rPr>
  </w:style>
  <w:style w:type="paragraph" w:styleId="Heading8">
    <w:name w:val="heading 8"/>
    <w:basedOn w:val="Normal"/>
    <w:next w:val="Normal"/>
    <w:link w:val="Heading8Char"/>
    <w:uiPriority w:val="9"/>
    <w:semiHidden/>
    <w:unhideWhenUsed/>
    <w:qFormat/>
    <w:rsid w:val="00345D67"/>
    <w:pPr>
      <w:keepNext/>
      <w:keepLines/>
      <w:spacing w:before="40" w:after="0"/>
      <w:outlineLvl w:val="7"/>
    </w:pPr>
    <w:rPr>
      <w:rFonts w:ascii="Cambria" w:hAnsi="Cambria"/>
      <w:color w:val="632423"/>
      <w:sz w:val="21"/>
      <w:szCs w:val="21"/>
    </w:rPr>
  </w:style>
  <w:style w:type="paragraph" w:styleId="Heading9">
    <w:name w:val="heading 9"/>
    <w:basedOn w:val="Normal"/>
    <w:next w:val="Normal"/>
    <w:link w:val="Heading9Char"/>
    <w:uiPriority w:val="9"/>
    <w:semiHidden/>
    <w:unhideWhenUsed/>
    <w:qFormat/>
    <w:rsid w:val="00345D67"/>
    <w:pPr>
      <w:keepNext/>
      <w:keepLines/>
      <w:spacing w:before="40" w:after="0"/>
      <w:outlineLvl w:val="8"/>
    </w:pPr>
    <w:rPr>
      <w:rFonts w:ascii="Cambria" w:hAnsi="Cambria"/>
      <w:color w:val="98480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0" w:line="240" w:lineRule="auto"/>
    </w:pPr>
    <w:rPr>
      <w:rFonts w:ascii="Cambria" w:eastAsia="Cambria" w:hAnsi="Cambria" w:cs="Cambria"/>
      <w:color w:val="365F91"/>
      <w:sz w:val="52"/>
      <w:szCs w:val="52"/>
    </w:rPr>
  </w:style>
  <w:style w:type="character" w:customStyle="1" w:styleId="HeaderChar">
    <w:name w:val="Header Char"/>
    <w:basedOn w:val="DefaultParagraphFont"/>
    <w:link w:val="Header"/>
    <w:uiPriority w:val="99"/>
    <w:rsid w:val="007721ED"/>
  </w:style>
  <w:style w:type="character" w:customStyle="1" w:styleId="FooterChar">
    <w:name w:val="Footer Char"/>
    <w:basedOn w:val="DefaultParagraphFont"/>
    <w:link w:val="Footer"/>
    <w:uiPriority w:val="99"/>
    <w:rsid w:val="007721ED"/>
  </w:style>
  <w:style w:type="character" w:customStyle="1" w:styleId="FootnoteTextChar">
    <w:name w:val="Footnote Text Char"/>
    <w:link w:val="FootnoteText"/>
    <w:uiPriority w:val="99"/>
    <w:rsid w:val="007721ED"/>
    <w:rPr>
      <w:sz w:val="20"/>
      <w:szCs w:val="20"/>
    </w:rPr>
  </w:style>
  <w:style w:type="character" w:customStyle="1" w:styleId="BalloonTextChar">
    <w:name w:val="Balloon Text Char"/>
    <w:link w:val="BalloonText"/>
    <w:uiPriority w:val="99"/>
    <w:semiHidden/>
    <w:rsid w:val="007721ED"/>
    <w:rPr>
      <w:rFonts w:ascii="Tahoma" w:hAnsi="Tahoma" w:cs="Tahoma"/>
      <w:sz w:val="16"/>
      <w:szCs w:val="16"/>
    </w:rPr>
  </w:style>
  <w:style w:type="character" w:customStyle="1" w:styleId="CommentTextChar">
    <w:name w:val="Comment Text Char"/>
    <w:link w:val="CommentText"/>
    <w:uiPriority w:val="99"/>
    <w:semiHidden/>
    <w:rsid w:val="007721ED"/>
    <w:rPr>
      <w:sz w:val="20"/>
      <w:szCs w:val="20"/>
    </w:rPr>
  </w:style>
  <w:style w:type="character" w:customStyle="1" w:styleId="CommentSubjectChar">
    <w:name w:val="Comment Subject Char"/>
    <w:link w:val="CommentSubject"/>
    <w:uiPriority w:val="99"/>
    <w:semiHidden/>
    <w:rsid w:val="007721ED"/>
    <w:rPr>
      <w:b/>
      <w:bCs/>
      <w:sz w:val="20"/>
      <w:szCs w:val="20"/>
    </w:rPr>
  </w:style>
  <w:style w:type="character" w:customStyle="1" w:styleId="CaptionChar">
    <w:name w:val="Caption Char"/>
    <w:link w:val="Caption"/>
    <w:rsid w:val="007721ED"/>
    <w:rPr>
      <w:rFonts w:ascii="Times New Roman" w:eastAsia="Times New Roman" w:hAnsi="Times New Roman" w:cs="Times New Roman"/>
      <w:bCs/>
      <w:sz w:val="24"/>
      <w:szCs w:val="18"/>
      <w:lang w:eastAsia="ja-JP"/>
    </w:rPr>
  </w:style>
  <w:style w:type="character" w:customStyle="1" w:styleId="Heading1Char">
    <w:name w:val="Heading 1 Char"/>
    <w:link w:val="Heading1"/>
    <w:uiPriority w:val="9"/>
    <w:rsid w:val="007721ED"/>
    <w:rPr>
      <w:rFonts w:ascii="Calibri Light" w:eastAsia="Times New Roman" w:hAnsi="Calibri Light" w:cs="Times New Roman"/>
      <w:b/>
      <w:bCs/>
      <w:color w:val="2E74B5"/>
      <w:sz w:val="28"/>
      <w:szCs w:val="28"/>
    </w:rPr>
  </w:style>
  <w:style w:type="character" w:customStyle="1" w:styleId="alt-edited">
    <w:name w:val="alt-edited"/>
    <w:basedOn w:val="DefaultParagraphFont"/>
    <w:rsid w:val="007721ED"/>
  </w:style>
  <w:style w:type="character" w:customStyle="1" w:styleId="Heading3Char">
    <w:name w:val="Heading 3 Char"/>
    <w:link w:val="Heading3"/>
    <w:uiPriority w:val="9"/>
    <w:rsid w:val="007721ED"/>
    <w:rPr>
      <w:rFonts w:ascii="Calibri Light" w:eastAsia="Times New Roman" w:hAnsi="Calibri Light" w:cs="Times New Roman"/>
      <w:b/>
      <w:bCs/>
      <w:color w:val="5B9BD5"/>
    </w:rPr>
  </w:style>
  <w:style w:type="character" w:customStyle="1" w:styleId="Heading2Char">
    <w:name w:val="Heading 2 Char"/>
    <w:link w:val="Heading2"/>
    <w:uiPriority w:val="9"/>
    <w:rsid w:val="007721ED"/>
    <w:rPr>
      <w:rFonts w:ascii="Calibri Light" w:eastAsia="Times New Roman" w:hAnsi="Calibri Light" w:cs="Times New Roman"/>
      <w:b/>
      <w:bCs/>
      <w:color w:val="5B9BD5"/>
      <w:sz w:val="26"/>
      <w:szCs w:val="26"/>
    </w:rPr>
  </w:style>
  <w:style w:type="character" w:customStyle="1" w:styleId="A1">
    <w:name w:val="A1"/>
    <w:uiPriority w:val="99"/>
    <w:rsid w:val="007721ED"/>
    <w:rPr>
      <w:color w:val="000000"/>
      <w:sz w:val="22"/>
      <w:szCs w:val="22"/>
    </w:rPr>
  </w:style>
  <w:style w:type="character" w:customStyle="1" w:styleId="A0">
    <w:name w:val="A0"/>
    <w:uiPriority w:val="99"/>
    <w:rsid w:val="007721ED"/>
    <w:rPr>
      <w:b/>
      <w:bCs/>
      <w:color w:val="000000"/>
    </w:rPr>
  </w:style>
  <w:style w:type="character" w:customStyle="1" w:styleId="st">
    <w:name w:val="st"/>
    <w:basedOn w:val="DefaultParagraphFont"/>
    <w:rsid w:val="007721ED"/>
  </w:style>
  <w:style w:type="character" w:customStyle="1" w:styleId="HTMLPreformattedChar">
    <w:name w:val="HTML Preformatted Char"/>
    <w:link w:val="HTMLPreformatted"/>
    <w:uiPriority w:val="99"/>
    <w:rsid w:val="007721ED"/>
    <w:rPr>
      <w:rFonts w:ascii="Courier New" w:eastAsia="Times New Roman" w:hAnsi="Courier New" w:cs="Courier New"/>
      <w:sz w:val="20"/>
      <w:szCs w:val="20"/>
    </w:rPr>
  </w:style>
  <w:style w:type="character" w:customStyle="1" w:styleId="HTMLPreformattedChar1">
    <w:name w:val="HTML Preformatted Char1"/>
    <w:uiPriority w:val="99"/>
    <w:semiHidden/>
    <w:rsid w:val="007721ED"/>
    <w:rPr>
      <w:rFonts w:ascii="Consolas" w:hAnsi="Consolas"/>
      <w:sz w:val="20"/>
      <w:szCs w:val="20"/>
    </w:rPr>
  </w:style>
  <w:style w:type="character" w:customStyle="1" w:styleId="i232a7bq1">
    <w:name w:val="i232a7bq1"/>
    <w:basedOn w:val="DefaultParagraphFont"/>
    <w:rsid w:val="007721ED"/>
  </w:style>
  <w:style w:type="character" w:customStyle="1" w:styleId="A2">
    <w:name w:val="A2"/>
    <w:uiPriority w:val="99"/>
    <w:rsid w:val="007721ED"/>
    <w:rPr>
      <w:color w:val="000000"/>
      <w:sz w:val="12"/>
      <w:szCs w:val="12"/>
    </w:rPr>
  </w:style>
  <w:style w:type="character" w:customStyle="1" w:styleId="ListParagraphChar">
    <w:name w:val="List Paragraph Char"/>
    <w:aliases w:val="Heading 41 Char,Heading 411 Char,Heading 42 Char,spasi 2 taiiii Char,List 1 Char,Body of text Char"/>
    <w:link w:val="ListParagraph"/>
    <w:uiPriority w:val="34"/>
    <w:locked/>
    <w:rsid w:val="007721ED"/>
    <w:rPr>
      <w:sz w:val="22"/>
      <w:szCs w:val="22"/>
      <w:lang w:val="id-ID"/>
    </w:rPr>
  </w:style>
  <w:style w:type="character" w:customStyle="1" w:styleId="apple-style-span">
    <w:name w:val="apple-style-span"/>
    <w:rsid w:val="007721ED"/>
  </w:style>
  <w:style w:type="character" w:customStyle="1" w:styleId="shorttext">
    <w:name w:val="short_text"/>
    <w:rsid w:val="007721ED"/>
  </w:style>
  <w:style w:type="character" w:customStyle="1" w:styleId="tlid-translation">
    <w:name w:val="tlid-translation"/>
    <w:rsid w:val="007721ED"/>
  </w:style>
  <w:style w:type="character" w:customStyle="1" w:styleId="author-name">
    <w:name w:val="author-name"/>
    <w:rsid w:val="007721ED"/>
  </w:style>
  <w:style w:type="character" w:customStyle="1" w:styleId="BodyTextChar">
    <w:name w:val="Body Text Char"/>
    <w:link w:val="BodyText"/>
    <w:uiPriority w:val="1"/>
    <w:rsid w:val="007721ED"/>
    <w:rPr>
      <w:rFonts w:ascii="Times New Roman" w:eastAsia="Times New Roman" w:hAnsi="Times New Roman"/>
      <w:sz w:val="22"/>
      <w:szCs w:val="22"/>
      <w:lang w:bidi="en-US"/>
    </w:rPr>
  </w:style>
  <w:style w:type="character" w:customStyle="1" w:styleId="JudulArtikelChar">
    <w:name w:val="Judul Artikel Char"/>
    <w:link w:val="JudulArtikel"/>
    <w:rsid w:val="007721ED"/>
    <w:rPr>
      <w:rFonts w:ascii="Times New Roman" w:hAnsi="Times New Roman"/>
      <w:b/>
      <w:sz w:val="28"/>
      <w:lang w:val="en-ID" w:eastAsia="en-ID"/>
    </w:rPr>
  </w:style>
  <w:style w:type="character" w:customStyle="1" w:styleId="NamaPenulisChar">
    <w:name w:val="Nama Penulis Char"/>
    <w:link w:val="NamaPenulis"/>
    <w:rsid w:val="007721ED"/>
    <w:rPr>
      <w:rFonts w:ascii="Times New Roman" w:hAnsi="Times New Roman"/>
      <w:b/>
      <w:sz w:val="24"/>
      <w:lang w:val="en-ID" w:eastAsia="en-ID"/>
    </w:rPr>
  </w:style>
  <w:style w:type="character" w:customStyle="1" w:styleId="AbstrakIndonesiaChar">
    <w:name w:val="Abstrak (Indonesia) Char"/>
    <w:link w:val="AbstrakIndonesia"/>
    <w:rsid w:val="007721ED"/>
    <w:rPr>
      <w:rFonts w:ascii="Times New Roman" w:hAnsi="Times New Roman"/>
      <w:lang w:val="id-ID" w:eastAsia="en-ID"/>
    </w:rPr>
  </w:style>
  <w:style w:type="character" w:customStyle="1" w:styleId="KataKunciChar">
    <w:name w:val="Kata Kunci Char"/>
    <w:link w:val="KataKunci"/>
    <w:rsid w:val="007721ED"/>
  </w:style>
  <w:style w:type="character" w:customStyle="1" w:styleId="ParagrafChar">
    <w:name w:val="Paragraf Char"/>
    <w:link w:val="Paragraf"/>
    <w:rsid w:val="007721ED"/>
    <w:rPr>
      <w:rFonts w:ascii="Times New Roman" w:eastAsia="Times New Roman" w:hAnsi="Times New Roman"/>
      <w:b/>
      <w:bCs/>
      <w:color w:val="2E74B5"/>
      <w:sz w:val="24"/>
      <w:szCs w:val="32"/>
      <w:lang w:val="en-ID" w:eastAsia="en-ID"/>
    </w:rPr>
  </w:style>
  <w:style w:type="character" w:customStyle="1" w:styleId="apple-converted-space">
    <w:name w:val="apple-converted-space"/>
    <w:basedOn w:val="DefaultParagraphFont"/>
    <w:rsid w:val="007721ED"/>
  </w:style>
  <w:style w:type="character" w:styleId="Hyperlink">
    <w:name w:val="Hyperlink"/>
    <w:uiPriority w:val="99"/>
    <w:unhideWhenUsed/>
    <w:qFormat/>
    <w:rsid w:val="007721ED"/>
    <w:rPr>
      <w:color w:val="0563C1"/>
      <w:u w:val="single"/>
    </w:rPr>
  </w:style>
  <w:style w:type="character" w:styleId="FootnoteReference">
    <w:name w:val="footnote reference"/>
    <w:uiPriority w:val="99"/>
    <w:unhideWhenUsed/>
    <w:rsid w:val="007721ED"/>
    <w:rPr>
      <w:vertAlign w:val="superscript"/>
    </w:rPr>
  </w:style>
  <w:style w:type="character" w:styleId="CommentReference">
    <w:name w:val="annotation reference"/>
    <w:uiPriority w:val="99"/>
    <w:unhideWhenUsed/>
    <w:rsid w:val="007721ED"/>
    <w:rPr>
      <w:sz w:val="16"/>
      <w:szCs w:val="16"/>
    </w:rPr>
  </w:style>
  <w:style w:type="paragraph" w:customStyle="1" w:styleId="IJOPCMTitle">
    <w:name w:val="IJOPCM Title"/>
    <w:basedOn w:val="Heading1"/>
    <w:rsid w:val="007721ED"/>
    <w:pPr>
      <w:keepLines w:val="0"/>
      <w:spacing w:before="0" w:after="240" w:line="520" w:lineRule="exact"/>
      <w:jc w:val="center"/>
    </w:pPr>
    <w:rPr>
      <w:rFonts w:ascii="Times New Roman" w:eastAsia="Batang" w:hAnsi="Times New Roman" w:cs="Arial"/>
      <w:color w:val="auto"/>
      <w:kern w:val="32"/>
      <w:sz w:val="40"/>
      <w:szCs w:val="32"/>
      <w:lang w:eastAsia="ko-KR"/>
    </w:rPr>
  </w:style>
  <w:style w:type="paragraph" w:styleId="ListParagraph">
    <w:name w:val="List Paragraph"/>
    <w:aliases w:val="Heading 41,Heading 411,Heading 42,spasi 2 taiiii,List 1,Body of text"/>
    <w:basedOn w:val="Normal"/>
    <w:link w:val="ListParagraphChar"/>
    <w:uiPriority w:val="34"/>
    <w:qFormat/>
    <w:rsid w:val="007721ED"/>
    <w:pPr>
      <w:spacing w:after="200" w:line="276" w:lineRule="auto"/>
      <w:ind w:left="720"/>
      <w:contextualSpacing/>
    </w:pPr>
    <w:rPr>
      <w:lang w:val="id-ID"/>
    </w:rPr>
  </w:style>
  <w:style w:type="paragraph" w:customStyle="1" w:styleId="ResumeText">
    <w:name w:val="Resume Text"/>
    <w:basedOn w:val="Normal"/>
    <w:qFormat/>
    <w:rsid w:val="007721ED"/>
    <w:pPr>
      <w:spacing w:before="40" w:after="40" w:line="288" w:lineRule="auto"/>
      <w:ind w:right="1440"/>
    </w:pPr>
    <w:rPr>
      <w:rFonts w:ascii="Calibri" w:eastAsia="Calibri" w:hAnsi="Calibri"/>
      <w:color w:val="595959"/>
      <w:kern w:val="20"/>
      <w:sz w:val="20"/>
      <w:szCs w:val="20"/>
      <w:lang w:eastAsia="ja-JP"/>
    </w:rPr>
  </w:style>
  <w:style w:type="paragraph" w:styleId="NoSpacing">
    <w:name w:val="No Spacing"/>
    <w:uiPriority w:val="1"/>
    <w:qFormat/>
    <w:rsid w:val="007721ED"/>
    <w:rPr>
      <w:lang w:val="id-ID"/>
    </w:rPr>
  </w:style>
  <w:style w:type="paragraph" w:styleId="Bibliography">
    <w:name w:val="Bibliography"/>
    <w:basedOn w:val="Normal"/>
    <w:next w:val="Normal"/>
    <w:uiPriority w:val="37"/>
    <w:unhideWhenUsed/>
    <w:rsid w:val="007721ED"/>
    <w:rPr>
      <w:lang w:val="id-ID"/>
    </w:rPr>
  </w:style>
  <w:style w:type="paragraph" w:customStyle="1" w:styleId="TableParagraph">
    <w:name w:val="Table Paragraph"/>
    <w:basedOn w:val="Normal"/>
    <w:uiPriority w:val="1"/>
    <w:qFormat/>
    <w:rsid w:val="007721ED"/>
    <w:pPr>
      <w:widowControl w:val="0"/>
      <w:autoSpaceDE w:val="0"/>
      <w:autoSpaceDN w:val="0"/>
      <w:spacing w:after="0" w:line="233" w:lineRule="exact"/>
      <w:jc w:val="right"/>
    </w:pPr>
    <w:rPr>
      <w:lang w:bidi="en-US"/>
    </w:rPr>
  </w:style>
  <w:style w:type="paragraph" w:customStyle="1" w:styleId="JudulArtikel">
    <w:name w:val="Judul Artikel"/>
    <w:basedOn w:val="Normal"/>
    <w:link w:val="JudulArtikelChar"/>
    <w:qFormat/>
    <w:rsid w:val="007721ED"/>
    <w:pPr>
      <w:spacing w:line="240" w:lineRule="auto"/>
      <w:jc w:val="center"/>
    </w:pPr>
    <w:rPr>
      <w:b/>
      <w:sz w:val="28"/>
      <w:szCs w:val="20"/>
      <w:lang w:val="en-ID" w:eastAsia="en-ID"/>
    </w:rPr>
  </w:style>
  <w:style w:type="paragraph" w:customStyle="1" w:styleId="NamaPenulis">
    <w:name w:val="Nama Penulis"/>
    <w:basedOn w:val="JudulArtikel"/>
    <w:link w:val="NamaPenulisChar"/>
    <w:qFormat/>
    <w:rsid w:val="007721ED"/>
    <w:pPr>
      <w:spacing w:after="0"/>
    </w:pPr>
    <w:rPr>
      <w:sz w:val="24"/>
    </w:rPr>
  </w:style>
  <w:style w:type="paragraph" w:customStyle="1" w:styleId="AbstrakIndonesia">
    <w:name w:val="Abstrak (Indonesia)"/>
    <w:basedOn w:val="Normal"/>
    <w:link w:val="AbstrakIndonesiaChar"/>
    <w:qFormat/>
    <w:rsid w:val="007721ED"/>
    <w:pPr>
      <w:spacing w:line="240" w:lineRule="auto"/>
      <w:ind w:left="1134" w:right="1134"/>
      <w:jc w:val="both"/>
    </w:pPr>
    <w:rPr>
      <w:sz w:val="20"/>
      <w:szCs w:val="20"/>
      <w:lang w:val="id-ID" w:eastAsia="en-ID"/>
    </w:rPr>
  </w:style>
  <w:style w:type="paragraph" w:customStyle="1" w:styleId="KataKunci">
    <w:name w:val="Kata Kunci"/>
    <w:basedOn w:val="AbstrakIndonesia"/>
    <w:link w:val="KataKunciChar"/>
    <w:qFormat/>
    <w:rsid w:val="007721ED"/>
    <w:pPr>
      <w:spacing w:before="120" w:after="240" w:line="480" w:lineRule="auto"/>
    </w:pPr>
  </w:style>
  <w:style w:type="paragraph" w:customStyle="1" w:styleId="Paragraf">
    <w:name w:val="Paragraf"/>
    <w:basedOn w:val="Heading1"/>
    <w:link w:val="ParagrafChar"/>
    <w:qFormat/>
    <w:rsid w:val="007721ED"/>
    <w:pPr>
      <w:keepNext w:val="0"/>
      <w:keepLines w:val="0"/>
      <w:widowControl w:val="0"/>
      <w:spacing w:before="120" w:after="120" w:line="480" w:lineRule="auto"/>
      <w:ind w:firstLine="567"/>
      <w:jc w:val="both"/>
    </w:pPr>
    <w:rPr>
      <w:rFonts w:ascii="Times New Roman" w:hAnsi="Times New Roman"/>
      <w:sz w:val="24"/>
      <w:szCs w:val="32"/>
      <w:lang w:val="en-ID" w:eastAsia="en-ID"/>
    </w:rPr>
  </w:style>
  <w:style w:type="paragraph" w:customStyle="1" w:styleId="Default">
    <w:name w:val="Default"/>
    <w:rsid w:val="007721ED"/>
    <w:pPr>
      <w:autoSpaceDE w:val="0"/>
      <w:autoSpaceDN w:val="0"/>
      <w:adjustRightInd w:val="0"/>
    </w:pPr>
    <w:rPr>
      <w:rFonts w:ascii="Bookman Old Style" w:hAnsi="Bookman Old Style" w:cs="Bookman Old Style"/>
      <w:color w:val="000000"/>
      <w:sz w:val="24"/>
      <w:szCs w:val="24"/>
    </w:rPr>
  </w:style>
  <w:style w:type="paragraph" w:customStyle="1" w:styleId="ListParagraph1">
    <w:name w:val="List Paragraph1"/>
    <w:basedOn w:val="Normal"/>
    <w:uiPriority w:val="34"/>
    <w:qFormat/>
    <w:rsid w:val="007721ED"/>
    <w:pPr>
      <w:spacing w:after="200" w:line="276" w:lineRule="auto"/>
      <w:ind w:left="720"/>
      <w:contextualSpacing/>
    </w:pPr>
    <w:rPr>
      <w:lang w:val="id-ID"/>
    </w:rPr>
  </w:style>
  <w:style w:type="paragraph" w:styleId="NormalWeb">
    <w:name w:val="Normal (Web)"/>
    <w:basedOn w:val="Normal"/>
    <w:uiPriority w:val="99"/>
    <w:unhideWhenUsed/>
    <w:rsid w:val="007721ED"/>
    <w:pPr>
      <w:spacing w:before="100" w:beforeAutospacing="1" w:after="100" w:afterAutospacing="1" w:line="240" w:lineRule="auto"/>
    </w:pPr>
    <w:rPr>
      <w:sz w:val="24"/>
      <w:szCs w:val="24"/>
    </w:rPr>
  </w:style>
  <w:style w:type="paragraph" w:styleId="List">
    <w:name w:val="List"/>
    <w:basedOn w:val="Normal"/>
    <w:uiPriority w:val="99"/>
    <w:unhideWhenUsed/>
    <w:rsid w:val="007721ED"/>
    <w:pPr>
      <w:spacing w:before="100" w:beforeAutospacing="1" w:after="100" w:afterAutospacing="1" w:line="240" w:lineRule="auto"/>
    </w:pPr>
    <w:rPr>
      <w:sz w:val="24"/>
      <w:szCs w:val="24"/>
      <w:lang w:val="id-ID"/>
    </w:rPr>
  </w:style>
  <w:style w:type="paragraph" w:styleId="HTMLPreformatted">
    <w:name w:val="HTML Preformatted"/>
    <w:basedOn w:val="Normal"/>
    <w:link w:val="HTMLPreformattedChar"/>
    <w:uiPriority w:val="99"/>
    <w:unhideWhenUsed/>
    <w:rsid w:val="00772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paragraph" w:styleId="Header">
    <w:name w:val="header"/>
    <w:basedOn w:val="Normal"/>
    <w:link w:val="HeaderChar"/>
    <w:uiPriority w:val="99"/>
    <w:unhideWhenUsed/>
    <w:rsid w:val="007721ED"/>
    <w:pPr>
      <w:tabs>
        <w:tab w:val="center" w:pos="4680"/>
        <w:tab w:val="right" w:pos="9360"/>
      </w:tabs>
      <w:spacing w:after="0" w:line="240" w:lineRule="auto"/>
    </w:pPr>
  </w:style>
  <w:style w:type="paragraph" w:styleId="FootnoteText">
    <w:name w:val="footnote text"/>
    <w:basedOn w:val="Normal"/>
    <w:link w:val="FootnoteTextChar"/>
    <w:uiPriority w:val="99"/>
    <w:unhideWhenUsed/>
    <w:rsid w:val="007721ED"/>
    <w:pPr>
      <w:spacing w:after="0" w:line="240" w:lineRule="auto"/>
    </w:pPr>
    <w:rPr>
      <w:sz w:val="20"/>
      <w:szCs w:val="20"/>
    </w:rPr>
  </w:style>
  <w:style w:type="paragraph" w:styleId="Footer">
    <w:name w:val="footer"/>
    <w:basedOn w:val="Normal"/>
    <w:link w:val="FooterChar"/>
    <w:uiPriority w:val="99"/>
    <w:unhideWhenUsed/>
    <w:rsid w:val="007721ED"/>
    <w:pPr>
      <w:tabs>
        <w:tab w:val="center" w:pos="4680"/>
        <w:tab w:val="right" w:pos="9360"/>
      </w:tabs>
      <w:spacing w:after="0" w:line="240" w:lineRule="auto"/>
    </w:pPr>
  </w:style>
  <w:style w:type="paragraph" w:styleId="BalloonText">
    <w:name w:val="Balloon Text"/>
    <w:basedOn w:val="Normal"/>
    <w:link w:val="BalloonTextChar"/>
    <w:uiPriority w:val="99"/>
    <w:unhideWhenUsed/>
    <w:rsid w:val="007721ED"/>
    <w:pPr>
      <w:spacing w:after="0" w:line="240" w:lineRule="auto"/>
    </w:pPr>
    <w:rPr>
      <w:rFonts w:ascii="Tahoma" w:hAnsi="Tahoma"/>
      <w:sz w:val="16"/>
      <w:szCs w:val="16"/>
    </w:rPr>
  </w:style>
  <w:style w:type="paragraph" w:styleId="BodyText">
    <w:name w:val="Body Text"/>
    <w:basedOn w:val="Normal"/>
    <w:link w:val="BodyTextChar"/>
    <w:uiPriority w:val="1"/>
    <w:qFormat/>
    <w:rsid w:val="007721ED"/>
    <w:pPr>
      <w:widowControl w:val="0"/>
      <w:autoSpaceDE w:val="0"/>
      <w:autoSpaceDN w:val="0"/>
      <w:spacing w:after="0" w:line="240" w:lineRule="auto"/>
    </w:pPr>
    <w:rPr>
      <w:lang w:bidi="en-US"/>
    </w:rPr>
  </w:style>
  <w:style w:type="paragraph" w:styleId="Caption">
    <w:name w:val="caption"/>
    <w:basedOn w:val="Normal"/>
    <w:next w:val="Normal"/>
    <w:link w:val="CaptionChar"/>
    <w:qFormat/>
    <w:rsid w:val="007721ED"/>
    <w:pPr>
      <w:spacing w:before="60" w:after="200" w:line="240" w:lineRule="auto"/>
      <w:ind w:left="567" w:hanging="567"/>
    </w:pPr>
    <w:rPr>
      <w:bCs/>
      <w:sz w:val="24"/>
      <w:szCs w:val="18"/>
      <w:lang w:eastAsia="ja-JP"/>
    </w:rPr>
  </w:style>
  <w:style w:type="paragraph" w:styleId="CommentText">
    <w:name w:val="annotation text"/>
    <w:basedOn w:val="Normal"/>
    <w:link w:val="CommentTextChar"/>
    <w:uiPriority w:val="99"/>
    <w:unhideWhenUsed/>
    <w:rsid w:val="007721ED"/>
    <w:pPr>
      <w:spacing w:line="240" w:lineRule="auto"/>
    </w:pPr>
    <w:rPr>
      <w:sz w:val="20"/>
      <w:szCs w:val="20"/>
    </w:rPr>
  </w:style>
  <w:style w:type="paragraph" w:styleId="CommentSubject">
    <w:name w:val="annotation subject"/>
    <w:basedOn w:val="CommentText"/>
    <w:next w:val="CommentText"/>
    <w:link w:val="CommentSubjectChar"/>
    <w:uiPriority w:val="99"/>
    <w:unhideWhenUsed/>
    <w:rsid w:val="007721ED"/>
    <w:rPr>
      <w:b/>
      <w:bCs/>
    </w:rPr>
  </w:style>
  <w:style w:type="table" w:styleId="TableGrid">
    <w:name w:val="Table Grid"/>
    <w:basedOn w:val="TableNormal"/>
    <w:uiPriority w:val="59"/>
    <w:rsid w:val="007721ED"/>
    <w:rPr>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uiPriority w:val="99"/>
    <w:semiHidden/>
    <w:unhideWhenUsed/>
    <w:rsid w:val="00F921C1"/>
    <w:rPr>
      <w:color w:val="605E5C"/>
      <w:shd w:val="clear" w:color="auto" w:fill="E1DFDD"/>
    </w:rPr>
  </w:style>
  <w:style w:type="character" w:styleId="FollowedHyperlink">
    <w:name w:val="FollowedHyperlink"/>
    <w:uiPriority w:val="99"/>
    <w:semiHidden/>
    <w:unhideWhenUsed/>
    <w:rsid w:val="00F921C1"/>
    <w:rPr>
      <w:color w:val="954F72"/>
      <w:u w:val="single"/>
    </w:rPr>
  </w:style>
  <w:style w:type="character" w:customStyle="1" w:styleId="Heading4Char">
    <w:name w:val="Heading 4 Char"/>
    <w:basedOn w:val="DefaultParagraphFont"/>
    <w:link w:val="Heading4"/>
    <w:uiPriority w:val="9"/>
    <w:semiHidden/>
    <w:rsid w:val="00345D67"/>
    <w:rPr>
      <w:rFonts w:ascii="Cambria" w:eastAsia="Times New Roman" w:hAnsi="Cambria"/>
      <w:i/>
      <w:iCs/>
      <w:color w:val="31849B"/>
      <w:sz w:val="25"/>
      <w:szCs w:val="25"/>
      <w:lang w:val="en-US" w:eastAsia="en-US"/>
    </w:rPr>
  </w:style>
  <w:style w:type="character" w:customStyle="1" w:styleId="Heading5Char">
    <w:name w:val="Heading 5 Char"/>
    <w:basedOn w:val="DefaultParagraphFont"/>
    <w:link w:val="Heading5"/>
    <w:uiPriority w:val="9"/>
    <w:semiHidden/>
    <w:rsid w:val="00345D67"/>
    <w:rPr>
      <w:rFonts w:ascii="Cambria" w:eastAsia="Times New Roman" w:hAnsi="Cambria"/>
      <w:i/>
      <w:iCs/>
      <w:color w:val="632423"/>
      <w:sz w:val="24"/>
      <w:szCs w:val="24"/>
      <w:lang w:val="en-US" w:eastAsia="en-US"/>
    </w:rPr>
  </w:style>
  <w:style w:type="character" w:customStyle="1" w:styleId="Heading6Char">
    <w:name w:val="Heading 6 Char"/>
    <w:basedOn w:val="DefaultParagraphFont"/>
    <w:link w:val="Heading6"/>
    <w:uiPriority w:val="9"/>
    <w:semiHidden/>
    <w:rsid w:val="00345D67"/>
    <w:rPr>
      <w:rFonts w:ascii="Cambria" w:eastAsia="Times New Roman" w:hAnsi="Cambria"/>
      <w:i/>
      <w:iCs/>
      <w:color w:val="984806"/>
      <w:sz w:val="23"/>
      <w:szCs w:val="23"/>
      <w:lang w:val="en-US" w:eastAsia="en-US"/>
    </w:rPr>
  </w:style>
  <w:style w:type="character" w:customStyle="1" w:styleId="Heading7Char">
    <w:name w:val="Heading 7 Char"/>
    <w:basedOn w:val="DefaultParagraphFont"/>
    <w:link w:val="Heading7"/>
    <w:uiPriority w:val="9"/>
    <w:semiHidden/>
    <w:rsid w:val="00345D67"/>
    <w:rPr>
      <w:rFonts w:ascii="Cambria" w:eastAsia="Times New Roman" w:hAnsi="Cambria"/>
      <w:color w:val="244061"/>
      <w:sz w:val="22"/>
      <w:szCs w:val="22"/>
      <w:lang w:val="en-US" w:eastAsia="en-US"/>
    </w:rPr>
  </w:style>
  <w:style w:type="character" w:customStyle="1" w:styleId="Heading8Char">
    <w:name w:val="Heading 8 Char"/>
    <w:basedOn w:val="DefaultParagraphFont"/>
    <w:link w:val="Heading8"/>
    <w:uiPriority w:val="9"/>
    <w:semiHidden/>
    <w:rsid w:val="00345D67"/>
    <w:rPr>
      <w:rFonts w:ascii="Cambria" w:eastAsia="Times New Roman" w:hAnsi="Cambria"/>
      <w:color w:val="632423"/>
      <w:sz w:val="21"/>
      <w:szCs w:val="21"/>
      <w:lang w:val="en-US" w:eastAsia="en-US"/>
    </w:rPr>
  </w:style>
  <w:style w:type="character" w:customStyle="1" w:styleId="Heading9Char">
    <w:name w:val="Heading 9 Char"/>
    <w:basedOn w:val="DefaultParagraphFont"/>
    <w:link w:val="Heading9"/>
    <w:uiPriority w:val="9"/>
    <w:semiHidden/>
    <w:rsid w:val="00345D67"/>
    <w:rPr>
      <w:rFonts w:ascii="Cambria" w:eastAsia="Times New Roman" w:hAnsi="Cambria"/>
      <w:color w:val="984806"/>
      <w:sz w:val="22"/>
      <w:szCs w:val="22"/>
      <w:lang w:val="en-US" w:eastAsia="en-US"/>
    </w:rPr>
  </w:style>
  <w:style w:type="character" w:customStyle="1" w:styleId="TitleChar">
    <w:name w:val="Title Char"/>
    <w:basedOn w:val="DefaultParagraphFont"/>
    <w:link w:val="Title"/>
    <w:uiPriority w:val="10"/>
    <w:rsid w:val="00345D67"/>
    <w:rPr>
      <w:rFonts w:ascii="Cambria" w:eastAsia="Times New Roman" w:hAnsi="Cambria"/>
      <w:color w:val="365F91"/>
      <w:spacing w:val="-10"/>
      <w:sz w:val="52"/>
      <w:szCs w:val="52"/>
      <w:lang w:val="en-US" w:eastAsia="en-US"/>
    </w:rPr>
  </w:style>
  <w:style w:type="character" w:customStyle="1" w:styleId="SubtitleChar">
    <w:name w:val="Subtitle Char"/>
    <w:basedOn w:val="DefaultParagraphFont"/>
    <w:link w:val="Subtitle"/>
    <w:uiPriority w:val="11"/>
    <w:rsid w:val="00345D67"/>
    <w:rPr>
      <w:rFonts w:ascii="Cambria" w:eastAsia="Times New Roman" w:hAnsi="Cambria"/>
      <w:sz w:val="22"/>
      <w:szCs w:val="22"/>
      <w:lang w:val="en-US" w:eastAsia="en-US"/>
    </w:rPr>
  </w:style>
  <w:style w:type="character" w:styleId="Strong">
    <w:name w:val="Strong"/>
    <w:uiPriority w:val="22"/>
    <w:qFormat/>
    <w:rsid w:val="00345D67"/>
    <w:rPr>
      <w:b/>
      <w:bCs/>
    </w:rPr>
  </w:style>
  <w:style w:type="character" w:styleId="Emphasis">
    <w:name w:val="Emphasis"/>
    <w:uiPriority w:val="20"/>
    <w:qFormat/>
    <w:rsid w:val="00345D67"/>
    <w:rPr>
      <w:i/>
      <w:iCs/>
    </w:rPr>
  </w:style>
  <w:style w:type="paragraph" w:styleId="Quote">
    <w:name w:val="Quote"/>
    <w:basedOn w:val="Normal"/>
    <w:next w:val="Normal"/>
    <w:link w:val="QuoteChar"/>
    <w:uiPriority w:val="29"/>
    <w:qFormat/>
    <w:rsid w:val="00345D67"/>
    <w:pPr>
      <w:spacing w:before="120"/>
      <w:ind w:left="720" w:right="720"/>
      <w:jc w:val="center"/>
    </w:pPr>
    <w:rPr>
      <w:rFonts w:ascii="Calibri" w:hAnsi="Calibri"/>
      <w:i/>
      <w:iCs/>
    </w:rPr>
  </w:style>
  <w:style w:type="character" w:customStyle="1" w:styleId="QuoteChar">
    <w:name w:val="Quote Char"/>
    <w:basedOn w:val="DefaultParagraphFont"/>
    <w:link w:val="Quote"/>
    <w:uiPriority w:val="29"/>
    <w:rsid w:val="00345D67"/>
    <w:rPr>
      <w:rFonts w:ascii="Calibri" w:eastAsia="Times New Roman" w:hAnsi="Calibri"/>
      <w:i/>
      <w:iCs/>
      <w:sz w:val="22"/>
      <w:szCs w:val="22"/>
      <w:lang w:val="en-US" w:eastAsia="en-US"/>
    </w:rPr>
  </w:style>
  <w:style w:type="paragraph" w:styleId="IntenseQuote">
    <w:name w:val="Intense Quote"/>
    <w:basedOn w:val="Normal"/>
    <w:next w:val="Normal"/>
    <w:link w:val="IntenseQuoteChar"/>
    <w:uiPriority w:val="30"/>
    <w:qFormat/>
    <w:rsid w:val="00345D67"/>
    <w:pPr>
      <w:spacing w:before="120" w:line="300" w:lineRule="auto"/>
      <w:ind w:left="576" w:right="576"/>
      <w:jc w:val="center"/>
    </w:pPr>
    <w:rPr>
      <w:rFonts w:ascii="Cambria" w:hAnsi="Cambria"/>
      <w:color w:val="4F81BD"/>
      <w:sz w:val="24"/>
      <w:szCs w:val="24"/>
    </w:rPr>
  </w:style>
  <w:style w:type="character" w:customStyle="1" w:styleId="IntenseQuoteChar">
    <w:name w:val="Intense Quote Char"/>
    <w:basedOn w:val="DefaultParagraphFont"/>
    <w:link w:val="IntenseQuote"/>
    <w:uiPriority w:val="30"/>
    <w:rsid w:val="00345D67"/>
    <w:rPr>
      <w:rFonts w:ascii="Cambria" w:eastAsia="Times New Roman" w:hAnsi="Cambria"/>
      <w:color w:val="4F81BD"/>
      <w:sz w:val="24"/>
      <w:szCs w:val="24"/>
      <w:lang w:val="en-US" w:eastAsia="en-US"/>
    </w:rPr>
  </w:style>
  <w:style w:type="character" w:styleId="SubtleEmphasis">
    <w:name w:val="Subtle Emphasis"/>
    <w:uiPriority w:val="19"/>
    <w:qFormat/>
    <w:rsid w:val="00345D67"/>
    <w:rPr>
      <w:i/>
      <w:iCs/>
      <w:color w:val="404040"/>
    </w:rPr>
  </w:style>
  <w:style w:type="character" w:styleId="IntenseEmphasis">
    <w:name w:val="Intense Emphasis"/>
    <w:uiPriority w:val="21"/>
    <w:qFormat/>
    <w:rsid w:val="00345D67"/>
    <w:rPr>
      <w:b w:val="0"/>
      <w:bCs w:val="0"/>
      <w:i/>
      <w:iCs/>
      <w:color w:val="4F81BD"/>
    </w:rPr>
  </w:style>
  <w:style w:type="character" w:styleId="SubtleReference">
    <w:name w:val="Subtle Reference"/>
    <w:uiPriority w:val="31"/>
    <w:qFormat/>
    <w:rsid w:val="00345D67"/>
    <w:rPr>
      <w:smallCaps/>
      <w:color w:val="404040"/>
      <w:u w:val="single" w:color="7F7F7F"/>
    </w:rPr>
  </w:style>
  <w:style w:type="character" w:styleId="IntenseReference">
    <w:name w:val="Intense Reference"/>
    <w:uiPriority w:val="32"/>
    <w:qFormat/>
    <w:rsid w:val="00345D67"/>
    <w:rPr>
      <w:b/>
      <w:bCs/>
      <w:smallCaps/>
      <w:color w:val="4F81BD"/>
      <w:spacing w:val="5"/>
      <w:u w:val="single"/>
    </w:rPr>
  </w:style>
  <w:style w:type="character" w:styleId="BookTitle">
    <w:name w:val="Book Title"/>
    <w:uiPriority w:val="33"/>
    <w:qFormat/>
    <w:rsid w:val="00345D67"/>
    <w:rPr>
      <w:b/>
      <w:bCs/>
      <w:smallCaps/>
    </w:rPr>
  </w:style>
  <w:style w:type="paragraph" w:styleId="TOCHeading">
    <w:name w:val="TOC Heading"/>
    <w:basedOn w:val="Heading1"/>
    <w:next w:val="Normal"/>
    <w:uiPriority w:val="39"/>
    <w:semiHidden/>
    <w:unhideWhenUsed/>
    <w:qFormat/>
    <w:rsid w:val="00345D67"/>
    <w:pPr>
      <w:spacing w:before="320" w:line="240" w:lineRule="auto"/>
      <w:outlineLvl w:val="9"/>
    </w:pPr>
    <w:rPr>
      <w:rFonts w:ascii="Cambria" w:hAnsi="Cambria"/>
      <w:b w:val="0"/>
      <w:color w:val="365F91"/>
      <w:sz w:val="30"/>
      <w:szCs w:val="30"/>
    </w:rPr>
  </w:style>
  <w:style w:type="character" w:customStyle="1" w:styleId="fontstyle01">
    <w:name w:val="fontstyle01"/>
    <w:rsid w:val="005E52BA"/>
    <w:rPr>
      <w:rFonts w:ascii="TimesNewRomanPSMT" w:hAnsi="TimesNewRomanPSMT" w:hint="default"/>
      <w:b w:val="0"/>
      <w:bCs w:val="0"/>
      <w:i w:val="0"/>
      <w:iCs w:val="0"/>
      <w:color w:val="242021"/>
      <w:sz w:val="28"/>
      <w:szCs w:val="28"/>
    </w:rPr>
  </w:style>
  <w:style w:type="character" w:customStyle="1" w:styleId="ls5">
    <w:name w:val="ls5"/>
    <w:rsid w:val="009644B9"/>
    <w:rPr>
      <w:rFonts w:cs="Times New Roman"/>
      <w:rtl w:val="0"/>
      <w:cs w:val="0"/>
    </w:rPr>
  </w:style>
  <w:style w:type="character" w:styleId="PlaceholderText">
    <w:name w:val="Placeholder Text"/>
    <w:basedOn w:val="DefaultParagraphFont"/>
    <w:uiPriority w:val="99"/>
    <w:unhideWhenUsed/>
    <w:rsid w:val="00DC6F8D"/>
    <w:rPr>
      <w:color w:val="808080"/>
    </w:rPr>
  </w:style>
  <w:style w:type="character" w:customStyle="1" w:styleId="y2iqfc">
    <w:name w:val="y2iqfc"/>
    <w:basedOn w:val="DefaultParagraphFont"/>
    <w:rsid w:val="00962B8C"/>
  </w:style>
  <w:style w:type="paragraph" w:styleId="Subtitle">
    <w:name w:val="Subtitle"/>
    <w:basedOn w:val="Normal"/>
    <w:next w:val="Normal"/>
    <w:link w:val="SubtitleChar"/>
    <w:uiPriority w:val="11"/>
    <w:qFormat/>
    <w:pPr>
      <w:spacing w:line="240" w:lineRule="auto"/>
    </w:pPr>
    <w:rPr>
      <w:rFonts w:ascii="Cambria" w:eastAsia="Cambria" w:hAnsi="Cambria" w:cs="Cambria"/>
    </w:rPr>
  </w:style>
  <w:style w:type="table" w:customStyle="1" w:styleId="a">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AD4D69"/>
    <w:rPr>
      <w:color w:val="605E5C"/>
      <w:shd w:val="clear" w:color="auto" w:fill="E1DFDD"/>
    </w:rPr>
  </w:style>
  <w:style w:type="table" w:styleId="PlainTable2">
    <w:name w:val="Plain Table 2"/>
    <w:basedOn w:val="TableNormal"/>
    <w:uiPriority w:val="42"/>
    <w:rsid w:val="007F1B5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DaftarSaatini1">
    <w:name w:val="Daftar Saat ini1"/>
    <w:uiPriority w:val="99"/>
    <w:rsid w:val="007F1B58"/>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806505">
      <w:bodyDiv w:val="1"/>
      <w:marLeft w:val="0"/>
      <w:marRight w:val="0"/>
      <w:marTop w:val="0"/>
      <w:marBottom w:val="0"/>
      <w:divBdr>
        <w:top w:val="none" w:sz="0" w:space="0" w:color="auto"/>
        <w:left w:val="none" w:sz="0" w:space="0" w:color="auto"/>
        <w:bottom w:val="none" w:sz="0" w:space="0" w:color="auto"/>
        <w:right w:val="none" w:sz="0" w:space="0" w:color="auto"/>
      </w:divBdr>
    </w:div>
    <w:div w:id="1042635779">
      <w:bodyDiv w:val="1"/>
      <w:marLeft w:val="0"/>
      <w:marRight w:val="0"/>
      <w:marTop w:val="0"/>
      <w:marBottom w:val="0"/>
      <w:divBdr>
        <w:top w:val="none" w:sz="0" w:space="0" w:color="auto"/>
        <w:left w:val="none" w:sz="0" w:space="0" w:color="auto"/>
        <w:bottom w:val="none" w:sz="0" w:space="0" w:color="auto"/>
        <w:right w:val="none" w:sz="0" w:space="0" w:color="auto"/>
      </w:divBdr>
    </w:div>
    <w:div w:id="1480221222">
      <w:bodyDiv w:val="1"/>
      <w:marLeft w:val="0"/>
      <w:marRight w:val="0"/>
      <w:marTop w:val="0"/>
      <w:marBottom w:val="0"/>
      <w:divBdr>
        <w:top w:val="none" w:sz="0" w:space="0" w:color="auto"/>
        <w:left w:val="none" w:sz="0" w:space="0" w:color="auto"/>
        <w:bottom w:val="none" w:sz="0" w:space="0" w:color="auto"/>
        <w:right w:val="none" w:sz="0" w:space="0" w:color="auto"/>
      </w:divBdr>
    </w:div>
    <w:div w:id="1537738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9.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romi.suradi@ekonomi.untan.ac.id.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D2FE08ED4B50489C7F5746525E0B93"/>
        <w:category>
          <w:name w:val="Umum"/>
          <w:gallery w:val="placeholder"/>
        </w:category>
        <w:types>
          <w:type w:val="bbPlcHdr"/>
        </w:types>
        <w:behaviors>
          <w:behavior w:val="content"/>
        </w:behaviors>
        <w:guid w:val="{7E5DA6B2-020B-9C4A-BA0D-B2B8B582C4E8}"/>
      </w:docPartPr>
      <w:docPartBody>
        <w:p w:rsidR="00BC133C" w:rsidRDefault="00AD576E" w:rsidP="00AD576E">
          <w:pPr>
            <w:pStyle w:val="ABD2FE08ED4B50489C7F5746525E0B93"/>
          </w:pPr>
          <w:r w:rsidRPr="00B35083">
            <w:rPr>
              <w:rStyle w:val="PlaceholderText"/>
            </w:rPr>
            <w:t>Click or tap here to enter text.</w:t>
          </w:r>
        </w:p>
      </w:docPartBody>
    </w:docPart>
    <w:docPart>
      <w:docPartPr>
        <w:name w:val="39AF85F713173040957709AB470377DB"/>
        <w:category>
          <w:name w:val="Umum"/>
          <w:gallery w:val="placeholder"/>
        </w:category>
        <w:types>
          <w:type w:val="bbPlcHdr"/>
        </w:types>
        <w:behaviors>
          <w:behavior w:val="content"/>
        </w:behaviors>
        <w:guid w:val="{BEFF8905-36B7-AC42-95A6-6F1B198E13B0}"/>
      </w:docPartPr>
      <w:docPartBody>
        <w:p w:rsidR="00BC133C" w:rsidRDefault="00AD576E" w:rsidP="00AD576E">
          <w:pPr>
            <w:pStyle w:val="39AF85F713173040957709AB470377DB"/>
          </w:pPr>
          <w:r w:rsidRPr="000A681B">
            <w:rPr>
              <w:rStyle w:val="PlaceholderText"/>
            </w:rPr>
            <w:t>Click or tap here to enter text.</w:t>
          </w:r>
        </w:p>
      </w:docPartBody>
    </w:docPart>
    <w:docPart>
      <w:docPartPr>
        <w:name w:val="A6B5014D728DE043BD9E1898DF788370"/>
        <w:category>
          <w:name w:val="Umum"/>
          <w:gallery w:val="placeholder"/>
        </w:category>
        <w:types>
          <w:type w:val="bbPlcHdr"/>
        </w:types>
        <w:behaviors>
          <w:behavior w:val="content"/>
        </w:behaviors>
        <w:guid w:val="{851DFB38-F36E-834D-8F93-A67B8B4D7693}"/>
      </w:docPartPr>
      <w:docPartBody>
        <w:p w:rsidR="00BC133C" w:rsidRDefault="00AD576E" w:rsidP="00AD576E">
          <w:pPr>
            <w:pStyle w:val="A6B5014D728DE043BD9E1898DF788370"/>
          </w:pPr>
          <w:r w:rsidRPr="000A681B">
            <w:rPr>
              <w:rStyle w:val="PlaceholderText"/>
            </w:rPr>
            <w:t>Click or tap here to enter text.</w:t>
          </w:r>
        </w:p>
      </w:docPartBody>
    </w:docPart>
    <w:docPart>
      <w:docPartPr>
        <w:name w:val="D23B99E82A5CC64FA3425C03FFE5886A"/>
        <w:category>
          <w:name w:val="Umum"/>
          <w:gallery w:val="placeholder"/>
        </w:category>
        <w:types>
          <w:type w:val="bbPlcHdr"/>
        </w:types>
        <w:behaviors>
          <w:behavior w:val="content"/>
        </w:behaviors>
        <w:guid w:val="{F9D1DE6F-978C-8143-8EC7-8D9287FED13E}"/>
      </w:docPartPr>
      <w:docPartBody>
        <w:p w:rsidR="00BC133C" w:rsidRDefault="00AD576E" w:rsidP="00AD576E">
          <w:pPr>
            <w:pStyle w:val="D23B99E82A5CC64FA3425C03FFE5886A"/>
          </w:pPr>
          <w:r w:rsidRPr="000A681B">
            <w:rPr>
              <w:rStyle w:val="PlaceholderText"/>
            </w:rPr>
            <w:t>Click or tap here to enter text.</w:t>
          </w:r>
        </w:p>
      </w:docPartBody>
    </w:docPart>
    <w:docPart>
      <w:docPartPr>
        <w:name w:val="B8015A522478504585BACD142EC33989"/>
        <w:category>
          <w:name w:val="Umum"/>
          <w:gallery w:val="placeholder"/>
        </w:category>
        <w:types>
          <w:type w:val="bbPlcHdr"/>
        </w:types>
        <w:behaviors>
          <w:behavior w:val="content"/>
        </w:behaviors>
        <w:guid w:val="{1BB0D1D0-8937-0344-A8DC-CC23B08C9017}"/>
      </w:docPartPr>
      <w:docPartBody>
        <w:p w:rsidR="00BC133C" w:rsidRDefault="00AD576E" w:rsidP="00AD576E">
          <w:pPr>
            <w:pStyle w:val="B8015A522478504585BACD142EC33989"/>
          </w:pPr>
          <w:r w:rsidRPr="000A681B">
            <w:rPr>
              <w:rStyle w:val="PlaceholderText"/>
            </w:rPr>
            <w:t>Click or tap here to enter text.</w:t>
          </w:r>
        </w:p>
      </w:docPartBody>
    </w:docPart>
    <w:docPart>
      <w:docPartPr>
        <w:name w:val="B1B0176F8ABB064DB41FED11475D3D21"/>
        <w:category>
          <w:name w:val="Umum"/>
          <w:gallery w:val="placeholder"/>
        </w:category>
        <w:types>
          <w:type w:val="bbPlcHdr"/>
        </w:types>
        <w:behaviors>
          <w:behavior w:val="content"/>
        </w:behaviors>
        <w:guid w:val="{A29436AC-4C86-C542-B641-0E823161FCEA}"/>
      </w:docPartPr>
      <w:docPartBody>
        <w:p w:rsidR="00BC133C" w:rsidRDefault="00AD576E" w:rsidP="00AD576E">
          <w:pPr>
            <w:pStyle w:val="B1B0176F8ABB064DB41FED11475D3D21"/>
          </w:pPr>
          <w:r w:rsidRPr="000A681B">
            <w:rPr>
              <w:rStyle w:val="PlaceholderText"/>
            </w:rPr>
            <w:t>Click or tap here to enter text.</w:t>
          </w:r>
        </w:p>
      </w:docPartBody>
    </w:docPart>
    <w:docPart>
      <w:docPartPr>
        <w:name w:val="311A905F14598C49AB40004BC9EAA272"/>
        <w:category>
          <w:name w:val="Umum"/>
          <w:gallery w:val="placeholder"/>
        </w:category>
        <w:types>
          <w:type w:val="bbPlcHdr"/>
        </w:types>
        <w:behaviors>
          <w:behavior w:val="content"/>
        </w:behaviors>
        <w:guid w:val="{4D7A8E3F-9897-694A-BF63-6E2EC1FAFEF1}"/>
      </w:docPartPr>
      <w:docPartBody>
        <w:p w:rsidR="00BC133C" w:rsidRDefault="00AD576E" w:rsidP="00AD576E">
          <w:pPr>
            <w:pStyle w:val="311A905F14598C49AB40004BC9EAA272"/>
          </w:pPr>
          <w:r w:rsidRPr="000A681B">
            <w:rPr>
              <w:rStyle w:val="PlaceholderText"/>
            </w:rPr>
            <w:t>Click or tap here to enter text.</w:t>
          </w:r>
        </w:p>
      </w:docPartBody>
    </w:docPart>
    <w:docPart>
      <w:docPartPr>
        <w:name w:val="0729BF49BA5A1C49BE2C0F8E53CBB34D"/>
        <w:category>
          <w:name w:val="Umum"/>
          <w:gallery w:val="placeholder"/>
        </w:category>
        <w:types>
          <w:type w:val="bbPlcHdr"/>
        </w:types>
        <w:behaviors>
          <w:behavior w:val="content"/>
        </w:behaviors>
        <w:guid w:val="{2BD1E29F-F8CB-A347-B393-469E822E807B}"/>
      </w:docPartPr>
      <w:docPartBody>
        <w:p w:rsidR="00BC133C" w:rsidRDefault="00AD576E" w:rsidP="00AD576E">
          <w:pPr>
            <w:pStyle w:val="0729BF49BA5A1C49BE2C0F8E53CBB34D"/>
          </w:pPr>
          <w:r w:rsidRPr="000A681B">
            <w:rPr>
              <w:rStyle w:val="PlaceholderText"/>
            </w:rPr>
            <w:t>Click or tap here to enter text.</w:t>
          </w:r>
        </w:p>
      </w:docPartBody>
    </w:docPart>
    <w:docPart>
      <w:docPartPr>
        <w:name w:val="059795A3FE1D224B8103B7C6BEFFD343"/>
        <w:category>
          <w:name w:val="Umum"/>
          <w:gallery w:val="placeholder"/>
        </w:category>
        <w:types>
          <w:type w:val="bbPlcHdr"/>
        </w:types>
        <w:behaviors>
          <w:behavior w:val="content"/>
        </w:behaviors>
        <w:guid w:val="{9CB5ACA2-F1F2-9B4E-9796-8E6B2ED4953A}"/>
      </w:docPartPr>
      <w:docPartBody>
        <w:p w:rsidR="00BC133C" w:rsidRDefault="00AD576E" w:rsidP="00AD576E">
          <w:pPr>
            <w:pStyle w:val="059795A3FE1D224B8103B7C6BEFFD343"/>
          </w:pPr>
          <w:r w:rsidRPr="000A681B">
            <w:rPr>
              <w:rStyle w:val="PlaceholderText"/>
            </w:rPr>
            <w:t>Click or tap here to enter text.</w:t>
          </w:r>
        </w:p>
      </w:docPartBody>
    </w:docPart>
    <w:docPart>
      <w:docPartPr>
        <w:name w:val="271A42E0FDE7B34B8668B044BB7ABBBC"/>
        <w:category>
          <w:name w:val="Umum"/>
          <w:gallery w:val="placeholder"/>
        </w:category>
        <w:types>
          <w:type w:val="bbPlcHdr"/>
        </w:types>
        <w:behaviors>
          <w:behavior w:val="content"/>
        </w:behaviors>
        <w:guid w:val="{7C1B70CF-31FF-5246-8225-73214057E2AF}"/>
      </w:docPartPr>
      <w:docPartBody>
        <w:p w:rsidR="00BC133C" w:rsidRDefault="00AD576E" w:rsidP="00AD576E">
          <w:pPr>
            <w:pStyle w:val="271A42E0FDE7B34B8668B044BB7ABBBC"/>
          </w:pPr>
          <w:r w:rsidRPr="000A681B">
            <w:rPr>
              <w:rStyle w:val="PlaceholderText"/>
            </w:rPr>
            <w:t>Click or tap here to enter text.</w:t>
          </w:r>
        </w:p>
      </w:docPartBody>
    </w:docPart>
    <w:docPart>
      <w:docPartPr>
        <w:name w:val="B18E456096DB7644AD35843736954CC7"/>
        <w:category>
          <w:name w:val="Umum"/>
          <w:gallery w:val="placeholder"/>
        </w:category>
        <w:types>
          <w:type w:val="bbPlcHdr"/>
        </w:types>
        <w:behaviors>
          <w:behavior w:val="content"/>
        </w:behaviors>
        <w:guid w:val="{EEE2B974-B624-9946-B8BF-59252B9A992A}"/>
      </w:docPartPr>
      <w:docPartBody>
        <w:p w:rsidR="00BC133C" w:rsidRDefault="00AD576E" w:rsidP="00AD576E">
          <w:pPr>
            <w:pStyle w:val="B18E456096DB7644AD35843736954CC7"/>
          </w:pPr>
          <w:r w:rsidRPr="000A681B">
            <w:rPr>
              <w:rStyle w:val="PlaceholderText"/>
            </w:rPr>
            <w:t>Click or tap here to enter text.</w:t>
          </w:r>
        </w:p>
      </w:docPartBody>
    </w:docPart>
    <w:docPart>
      <w:docPartPr>
        <w:name w:val="1D6C0CF23AB3F2479E61ABA3FFC60268"/>
        <w:category>
          <w:name w:val="Umum"/>
          <w:gallery w:val="placeholder"/>
        </w:category>
        <w:types>
          <w:type w:val="bbPlcHdr"/>
        </w:types>
        <w:behaviors>
          <w:behavior w:val="content"/>
        </w:behaviors>
        <w:guid w:val="{16668208-C301-3645-8CC1-02BAE12686F7}"/>
      </w:docPartPr>
      <w:docPartBody>
        <w:p w:rsidR="00BC133C" w:rsidRDefault="00AD576E" w:rsidP="00AD576E">
          <w:pPr>
            <w:pStyle w:val="1D6C0CF23AB3F2479E61ABA3FFC60268"/>
          </w:pPr>
          <w:r w:rsidRPr="00B35083">
            <w:rPr>
              <w:rStyle w:val="PlaceholderText"/>
            </w:rPr>
            <w:t>Click or tap here to enter text.</w:t>
          </w:r>
        </w:p>
      </w:docPartBody>
    </w:docPart>
    <w:docPart>
      <w:docPartPr>
        <w:name w:val="BCE503692F71C248B6C770D5A08A39F9"/>
        <w:category>
          <w:name w:val="Umum"/>
          <w:gallery w:val="placeholder"/>
        </w:category>
        <w:types>
          <w:type w:val="bbPlcHdr"/>
        </w:types>
        <w:behaviors>
          <w:behavior w:val="content"/>
        </w:behaviors>
        <w:guid w:val="{F9EE434B-5D7D-854F-85E5-A134E0C6E3D7}"/>
      </w:docPartPr>
      <w:docPartBody>
        <w:p w:rsidR="00BC133C" w:rsidRDefault="00AD576E" w:rsidP="00AD576E">
          <w:pPr>
            <w:pStyle w:val="BCE503692F71C248B6C770D5A08A39F9"/>
          </w:pPr>
          <w:r w:rsidRPr="000A681B">
            <w:rPr>
              <w:rStyle w:val="PlaceholderText"/>
            </w:rPr>
            <w:t>Click or tap here to enter text.</w:t>
          </w:r>
        </w:p>
      </w:docPartBody>
    </w:docPart>
    <w:docPart>
      <w:docPartPr>
        <w:name w:val="11BAB2024B3D2747824F631A4F5C77FD"/>
        <w:category>
          <w:name w:val="Umum"/>
          <w:gallery w:val="placeholder"/>
        </w:category>
        <w:types>
          <w:type w:val="bbPlcHdr"/>
        </w:types>
        <w:behaviors>
          <w:behavior w:val="content"/>
        </w:behaviors>
        <w:guid w:val="{DEBA3F89-0E54-CA46-BA06-578473DE4E3B}"/>
      </w:docPartPr>
      <w:docPartBody>
        <w:p w:rsidR="00BC133C" w:rsidRDefault="00AD576E" w:rsidP="00AD576E">
          <w:pPr>
            <w:pStyle w:val="11BAB2024B3D2747824F631A4F5C77FD"/>
          </w:pPr>
          <w:r w:rsidRPr="000A681B">
            <w:rPr>
              <w:rStyle w:val="PlaceholderText"/>
            </w:rPr>
            <w:t>Click or tap here to enter text.</w:t>
          </w:r>
        </w:p>
      </w:docPartBody>
    </w:docPart>
    <w:docPart>
      <w:docPartPr>
        <w:name w:val="D4CA6A1E441F7D4FBA4F093F94C0DE41"/>
        <w:category>
          <w:name w:val="Umum"/>
          <w:gallery w:val="placeholder"/>
        </w:category>
        <w:types>
          <w:type w:val="bbPlcHdr"/>
        </w:types>
        <w:behaviors>
          <w:behavior w:val="content"/>
        </w:behaviors>
        <w:guid w:val="{F5D6947B-FFD9-8E43-8302-2B8D27EB88DF}"/>
      </w:docPartPr>
      <w:docPartBody>
        <w:p w:rsidR="00BC133C" w:rsidRDefault="00AD576E" w:rsidP="00AD576E">
          <w:pPr>
            <w:pStyle w:val="D4CA6A1E441F7D4FBA4F093F94C0DE41"/>
          </w:pPr>
          <w:r w:rsidRPr="000A681B">
            <w:rPr>
              <w:rStyle w:val="PlaceholderText"/>
            </w:rPr>
            <w:t>Click or tap here to enter text.</w:t>
          </w:r>
        </w:p>
      </w:docPartBody>
    </w:docPart>
    <w:docPart>
      <w:docPartPr>
        <w:name w:val="C6D98DBCC727B74A97A146346A92317F"/>
        <w:category>
          <w:name w:val="Umum"/>
          <w:gallery w:val="placeholder"/>
        </w:category>
        <w:types>
          <w:type w:val="bbPlcHdr"/>
        </w:types>
        <w:behaviors>
          <w:behavior w:val="content"/>
        </w:behaviors>
        <w:guid w:val="{BAC4271F-F90F-7944-9726-A4B5C289911A}"/>
      </w:docPartPr>
      <w:docPartBody>
        <w:p w:rsidR="00BC133C" w:rsidRDefault="00AD576E" w:rsidP="00AD576E">
          <w:pPr>
            <w:pStyle w:val="C6D98DBCC727B74A97A146346A92317F"/>
          </w:pPr>
          <w:r w:rsidRPr="000A681B">
            <w:rPr>
              <w:rStyle w:val="PlaceholderText"/>
            </w:rPr>
            <w:t>Click or tap here to enter text.</w:t>
          </w:r>
        </w:p>
      </w:docPartBody>
    </w:docPart>
    <w:docPart>
      <w:docPartPr>
        <w:name w:val="C701D94B368F204AB8BB05E4D49133E0"/>
        <w:category>
          <w:name w:val="Umum"/>
          <w:gallery w:val="placeholder"/>
        </w:category>
        <w:types>
          <w:type w:val="bbPlcHdr"/>
        </w:types>
        <w:behaviors>
          <w:behavior w:val="content"/>
        </w:behaviors>
        <w:guid w:val="{1AB662F7-D3E5-1248-B905-6AEB7C82B61E}"/>
      </w:docPartPr>
      <w:docPartBody>
        <w:p w:rsidR="00BC133C" w:rsidRDefault="00AD576E" w:rsidP="00AD576E">
          <w:pPr>
            <w:pStyle w:val="C701D94B368F204AB8BB05E4D49133E0"/>
          </w:pPr>
          <w:r w:rsidRPr="000A681B">
            <w:rPr>
              <w:rStyle w:val="PlaceholderText"/>
            </w:rPr>
            <w:t>Click or tap here to enter text.</w:t>
          </w:r>
        </w:p>
      </w:docPartBody>
    </w:docPart>
    <w:docPart>
      <w:docPartPr>
        <w:name w:val="6F753E988B539745B7FD8381A8C20DC1"/>
        <w:category>
          <w:name w:val="Umum"/>
          <w:gallery w:val="placeholder"/>
        </w:category>
        <w:types>
          <w:type w:val="bbPlcHdr"/>
        </w:types>
        <w:behaviors>
          <w:behavior w:val="content"/>
        </w:behaviors>
        <w:guid w:val="{CEF56CAE-DC41-2241-ADCD-446A972E5D15}"/>
      </w:docPartPr>
      <w:docPartBody>
        <w:p w:rsidR="00BC133C" w:rsidRDefault="00AD576E" w:rsidP="00AD576E">
          <w:pPr>
            <w:pStyle w:val="6F753E988B539745B7FD8381A8C20DC1"/>
          </w:pPr>
          <w:r w:rsidRPr="00B350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NewRomanPSMT">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76E"/>
    <w:rsid w:val="000169A8"/>
    <w:rsid w:val="001B0C95"/>
    <w:rsid w:val="00646F6E"/>
    <w:rsid w:val="00A1592F"/>
    <w:rsid w:val="00AD576E"/>
    <w:rsid w:val="00BC13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576E"/>
    <w:rPr>
      <w:color w:val="808080"/>
    </w:rPr>
  </w:style>
  <w:style w:type="paragraph" w:customStyle="1" w:styleId="ABD2FE08ED4B50489C7F5746525E0B93">
    <w:name w:val="ABD2FE08ED4B50489C7F5746525E0B93"/>
    <w:rsid w:val="00AD576E"/>
  </w:style>
  <w:style w:type="paragraph" w:customStyle="1" w:styleId="39AF85F713173040957709AB470377DB">
    <w:name w:val="39AF85F713173040957709AB470377DB"/>
    <w:rsid w:val="00AD576E"/>
  </w:style>
  <w:style w:type="paragraph" w:customStyle="1" w:styleId="A6B5014D728DE043BD9E1898DF788370">
    <w:name w:val="A6B5014D728DE043BD9E1898DF788370"/>
    <w:rsid w:val="00AD576E"/>
  </w:style>
  <w:style w:type="paragraph" w:customStyle="1" w:styleId="D23B99E82A5CC64FA3425C03FFE5886A">
    <w:name w:val="D23B99E82A5CC64FA3425C03FFE5886A"/>
    <w:rsid w:val="00AD576E"/>
  </w:style>
  <w:style w:type="paragraph" w:customStyle="1" w:styleId="B8015A522478504585BACD142EC33989">
    <w:name w:val="B8015A522478504585BACD142EC33989"/>
    <w:rsid w:val="00AD576E"/>
  </w:style>
  <w:style w:type="paragraph" w:customStyle="1" w:styleId="B1B0176F8ABB064DB41FED11475D3D21">
    <w:name w:val="B1B0176F8ABB064DB41FED11475D3D21"/>
    <w:rsid w:val="00AD576E"/>
  </w:style>
  <w:style w:type="paragraph" w:customStyle="1" w:styleId="311A905F14598C49AB40004BC9EAA272">
    <w:name w:val="311A905F14598C49AB40004BC9EAA272"/>
    <w:rsid w:val="00AD576E"/>
  </w:style>
  <w:style w:type="paragraph" w:customStyle="1" w:styleId="0729BF49BA5A1C49BE2C0F8E53CBB34D">
    <w:name w:val="0729BF49BA5A1C49BE2C0F8E53CBB34D"/>
    <w:rsid w:val="00AD576E"/>
  </w:style>
  <w:style w:type="paragraph" w:customStyle="1" w:styleId="059795A3FE1D224B8103B7C6BEFFD343">
    <w:name w:val="059795A3FE1D224B8103B7C6BEFFD343"/>
    <w:rsid w:val="00AD576E"/>
  </w:style>
  <w:style w:type="paragraph" w:customStyle="1" w:styleId="271A42E0FDE7B34B8668B044BB7ABBBC">
    <w:name w:val="271A42E0FDE7B34B8668B044BB7ABBBC"/>
    <w:rsid w:val="00AD576E"/>
  </w:style>
  <w:style w:type="paragraph" w:customStyle="1" w:styleId="B18E456096DB7644AD35843736954CC7">
    <w:name w:val="B18E456096DB7644AD35843736954CC7"/>
    <w:rsid w:val="00AD576E"/>
  </w:style>
  <w:style w:type="paragraph" w:customStyle="1" w:styleId="1D6C0CF23AB3F2479E61ABA3FFC60268">
    <w:name w:val="1D6C0CF23AB3F2479E61ABA3FFC60268"/>
    <w:rsid w:val="00AD576E"/>
  </w:style>
  <w:style w:type="paragraph" w:customStyle="1" w:styleId="BCE503692F71C248B6C770D5A08A39F9">
    <w:name w:val="BCE503692F71C248B6C770D5A08A39F9"/>
    <w:rsid w:val="00AD576E"/>
  </w:style>
  <w:style w:type="paragraph" w:customStyle="1" w:styleId="11BAB2024B3D2747824F631A4F5C77FD">
    <w:name w:val="11BAB2024B3D2747824F631A4F5C77FD"/>
    <w:rsid w:val="00AD576E"/>
  </w:style>
  <w:style w:type="paragraph" w:customStyle="1" w:styleId="D4CA6A1E441F7D4FBA4F093F94C0DE41">
    <w:name w:val="D4CA6A1E441F7D4FBA4F093F94C0DE41"/>
    <w:rsid w:val="00AD576E"/>
  </w:style>
  <w:style w:type="paragraph" w:customStyle="1" w:styleId="C6D98DBCC727B74A97A146346A92317F">
    <w:name w:val="C6D98DBCC727B74A97A146346A92317F"/>
    <w:rsid w:val="00AD576E"/>
  </w:style>
  <w:style w:type="paragraph" w:customStyle="1" w:styleId="C701D94B368F204AB8BB05E4D49133E0">
    <w:name w:val="C701D94B368F204AB8BB05E4D49133E0"/>
    <w:rsid w:val="00AD576E"/>
  </w:style>
  <w:style w:type="paragraph" w:customStyle="1" w:styleId="6F753E988B539745B7FD8381A8C20DC1">
    <w:name w:val="6F753E988B539745B7FD8381A8C20DC1"/>
    <w:rsid w:val="00AD57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u6mpIyX1+PjBeeRUL1lcjT1COw==">CgMxLjA4AHIhMS1lajZub01GcHFnLUJnSl9OV2o0Ylc4cVhsSkh0Rzc4</go:docsCustomData>
</go:gDocsCustomXmlDataStorage>
</file>

<file path=customXml/itemProps1.xml><?xml version="1.0" encoding="utf-8"?>
<ds:datastoreItem xmlns:ds="http://schemas.openxmlformats.org/officeDocument/2006/customXml" ds:itemID="{7FDC5042-98C3-6041-BABB-F8573E62807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4451</Words>
  <Characters>25372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Enty Wiljan</cp:lastModifiedBy>
  <cp:revision>12</cp:revision>
  <dcterms:created xsi:type="dcterms:W3CDTF">2026-04-20T06:29:00Z</dcterms:created>
  <dcterms:modified xsi:type="dcterms:W3CDTF">2026-04-20T06:38:00Z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610d5f31-a1e7-3f2f-a543-beb9bce08521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1033-11.2.0.8342</vt:lpwstr>
  </property>
</Properties>
</file>