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55F05B" w14:textId="77777777" w:rsidR="00A85252" w:rsidRDefault="00B36E37" w:rsidP="00426EDD">
      <w:pPr>
        <w:spacing w:before="120" w:after="120" w:line="240" w:lineRule="auto"/>
        <w:jc w:val="center"/>
        <w:rPr>
          <w:b/>
          <w:sz w:val="24"/>
          <w:szCs w:val="24"/>
        </w:rPr>
      </w:pPr>
      <w:r w:rsidRPr="00B36E37">
        <w:rPr>
          <w:b/>
          <w:sz w:val="24"/>
          <w:szCs w:val="24"/>
        </w:rPr>
        <w:t>Analisis Dinamika Bauran Kebijakan Moneter dan Fiskal terhadap Inflasi dan Pengangguran di Indonesia</w:t>
      </w:r>
      <w:r w:rsidR="00A85252">
        <w:rPr>
          <w:b/>
          <w:sz w:val="24"/>
          <w:szCs w:val="24"/>
        </w:rPr>
        <w:t xml:space="preserve"> </w:t>
      </w:r>
      <w:bookmarkStart w:id="0" w:name="_GoBack"/>
      <w:bookmarkEnd w:id="0"/>
    </w:p>
    <w:p w14:paraId="07F2D729" w14:textId="77777777" w:rsidR="00B36E37" w:rsidRDefault="00B36E37" w:rsidP="00B36E37">
      <w:pPr>
        <w:spacing w:after="0" w:line="240" w:lineRule="auto"/>
        <w:jc w:val="center"/>
        <w:rPr>
          <w:b/>
          <w:i/>
          <w:sz w:val="24"/>
          <w:szCs w:val="24"/>
        </w:rPr>
      </w:pPr>
      <w:r w:rsidRPr="00B36E37">
        <w:rPr>
          <w:b/>
          <w:i/>
          <w:sz w:val="24"/>
          <w:szCs w:val="24"/>
        </w:rPr>
        <w:t xml:space="preserve">Dynamic Analysis of Monetary and Fiscal Policy Mix on Inflation and Unemployment </w:t>
      </w:r>
    </w:p>
    <w:p w14:paraId="2DC245AA" w14:textId="0B766BDF" w:rsidR="00B36E37" w:rsidRPr="00426EDD" w:rsidRDefault="00B36E37" w:rsidP="00426EDD">
      <w:pPr>
        <w:spacing w:after="0" w:line="240" w:lineRule="auto"/>
        <w:jc w:val="center"/>
        <w:rPr>
          <w:b/>
          <w:i/>
          <w:sz w:val="24"/>
          <w:szCs w:val="24"/>
        </w:rPr>
      </w:pPr>
      <w:proofErr w:type="gramStart"/>
      <w:r w:rsidRPr="00B36E37">
        <w:rPr>
          <w:b/>
          <w:i/>
          <w:sz w:val="24"/>
          <w:szCs w:val="24"/>
        </w:rPr>
        <w:t>in</w:t>
      </w:r>
      <w:proofErr w:type="gramEnd"/>
      <w:r w:rsidRPr="00B36E37">
        <w:rPr>
          <w:b/>
          <w:i/>
          <w:sz w:val="24"/>
          <w:szCs w:val="24"/>
        </w:rPr>
        <w:t xml:space="preserve"> Indonesia</w:t>
      </w:r>
    </w:p>
    <w:p w14:paraId="10F76859" w14:textId="77777777" w:rsidR="00A85252" w:rsidRDefault="00765CD1" w:rsidP="00A85252">
      <w:pPr>
        <w:spacing w:after="240" w:line="240" w:lineRule="auto"/>
        <w:ind w:right="-6"/>
        <w:jc w:val="center"/>
        <w:rPr>
          <w:sz w:val="20"/>
          <w:szCs w:val="20"/>
        </w:rPr>
      </w:pPr>
      <w:r>
        <w:rPr>
          <w:sz w:val="20"/>
          <w:szCs w:val="20"/>
        </w:rPr>
        <w:t>Wahyu Indah Sari</w:t>
      </w:r>
      <w:r w:rsidR="00A85252">
        <w:rPr>
          <w:sz w:val="20"/>
          <w:szCs w:val="20"/>
          <w:vertAlign w:val="superscript"/>
        </w:rPr>
        <w:t>1</w:t>
      </w:r>
      <w:r>
        <w:rPr>
          <w:sz w:val="20"/>
          <w:szCs w:val="20"/>
          <w:vertAlign w:val="superscript"/>
        </w:rPr>
        <w:t>2</w:t>
      </w:r>
      <w:r w:rsidR="00A85252">
        <w:rPr>
          <w:sz w:val="20"/>
          <w:szCs w:val="20"/>
          <w:vertAlign w:val="superscript"/>
        </w:rPr>
        <w:t>,*</w:t>
      </w:r>
      <w:r w:rsidR="00A85252">
        <w:rPr>
          <w:sz w:val="20"/>
          <w:szCs w:val="20"/>
        </w:rPr>
        <w:t xml:space="preserve">, </w:t>
      </w:r>
      <w:r w:rsidRPr="00765CD1">
        <w:rPr>
          <w:sz w:val="20"/>
          <w:szCs w:val="20"/>
        </w:rPr>
        <w:t>Sirojuzilam Hasyim</w:t>
      </w:r>
      <w:r>
        <w:rPr>
          <w:sz w:val="20"/>
          <w:szCs w:val="20"/>
          <w:vertAlign w:val="superscript"/>
        </w:rPr>
        <w:t>3</w:t>
      </w:r>
      <w:r w:rsidR="00A85252">
        <w:rPr>
          <w:sz w:val="20"/>
          <w:szCs w:val="20"/>
        </w:rPr>
        <w:t xml:space="preserve">, </w:t>
      </w:r>
      <w:r w:rsidRPr="00765CD1">
        <w:rPr>
          <w:sz w:val="20"/>
          <w:szCs w:val="20"/>
        </w:rPr>
        <w:t>M. Syafii</w:t>
      </w:r>
      <w:r>
        <w:rPr>
          <w:sz w:val="20"/>
          <w:szCs w:val="20"/>
          <w:vertAlign w:val="superscript"/>
        </w:rPr>
        <w:t>4</w:t>
      </w:r>
    </w:p>
    <w:p w14:paraId="7E6ACCC9" w14:textId="77777777" w:rsidR="00A85252" w:rsidRDefault="00A85252" w:rsidP="00426EDD">
      <w:pPr>
        <w:spacing w:after="0" w:line="240" w:lineRule="auto"/>
        <w:ind w:right="-6"/>
        <w:rPr>
          <w:sz w:val="18"/>
          <w:szCs w:val="18"/>
        </w:rPr>
      </w:pPr>
      <w:r>
        <w:rPr>
          <w:sz w:val="18"/>
          <w:szCs w:val="18"/>
          <w:vertAlign w:val="superscript"/>
        </w:rPr>
        <w:t>1</w:t>
      </w:r>
      <w:r w:rsidR="00971440">
        <w:rPr>
          <w:sz w:val="18"/>
          <w:szCs w:val="18"/>
        </w:rPr>
        <w:t>Universitas Pembangunan Panca Budi, Jl. Jend. Gatot Subroto km 4</w:t>
      </w:r>
      <w:proofErr w:type="gramStart"/>
      <w:r w:rsidR="00971440">
        <w:rPr>
          <w:sz w:val="18"/>
          <w:szCs w:val="18"/>
        </w:rPr>
        <w:t>,5</w:t>
      </w:r>
      <w:proofErr w:type="gramEnd"/>
      <w:r w:rsidR="00971440">
        <w:rPr>
          <w:sz w:val="18"/>
          <w:szCs w:val="18"/>
        </w:rPr>
        <w:t xml:space="preserve"> Sei Sikambing. Medan - 20128</w:t>
      </w:r>
      <w:r>
        <w:rPr>
          <w:sz w:val="18"/>
          <w:szCs w:val="18"/>
        </w:rPr>
        <w:t>,</w:t>
      </w:r>
      <w:r w:rsidR="00755405">
        <w:rPr>
          <w:sz w:val="18"/>
          <w:szCs w:val="18"/>
        </w:rPr>
        <w:t xml:space="preserve"> </w:t>
      </w:r>
      <w:r w:rsidR="00971440">
        <w:rPr>
          <w:sz w:val="18"/>
          <w:szCs w:val="18"/>
        </w:rPr>
        <w:t>Indonesia</w:t>
      </w:r>
    </w:p>
    <w:p w14:paraId="623F2C89" w14:textId="77777777" w:rsidR="00971440" w:rsidRPr="00971440" w:rsidRDefault="00FB7F1A" w:rsidP="00426EDD">
      <w:pPr>
        <w:spacing w:after="0" w:line="240" w:lineRule="auto"/>
        <w:ind w:right="-6"/>
        <w:rPr>
          <w:sz w:val="18"/>
          <w:szCs w:val="18"/>
        </w:rPr>
      </w:pPr>
      <w:r>
        <w:rPr>
          <w:sz w:val="18"/>
          <w:szCs w:val="18"/>
          <w:vertAlign w:val="superscript"/>
        </w:rPr>
        <w:t>2</w:t>
      </w:r>
      <w:r w:rsidR="00971440">
        <w:rPr>
          <w:sz w:val="18"/>
          <w:szCs w:val="18"/>
          <w:vertAlign w:val="superscript"/>
        </w:rPr>
        <w:t>34</w:t>
      </w:r>
      <w:r w:rsidR="00971440">
        <w:rPr>
          <w:sz w:val="18"/>
          <w:szCs w:val="18"/>
        </w:rPr>
        <w:t>Universitas Sumatera Utara</w:t>
      </w:r>
      <w:proofErr w:type="gramStart"/>
      <w:r w:rsidR="00971440">
        <w:rPr>
          <w:sz w:val="18"/>
          <w:szCs w:val="18"/>
        </w:rPr>
        <w:t xml:space="preserve">, </w:t>
      </w:r>
      <w:r w:rsidR="00A85252">
        <w:rPr>
          <w:sz w:val="18"/>
          <w:szCs w:val="18"/>
        </w:rPr>
        <w:t xml:space="preserve"> </w:t>
      </w:r>
      <w:proofErr w:type="gramEnd"/>
      <w:r w:rsidR="009F76FA">
        <w:fldChar w:fldCharType="begin"/>
      </w:r>
      <w:r w:rsidR="009F76FA">
        <w:instrText xml:space="preserve"> HYPERLINK "https://maps.app.goo.gl/t3omfiYFFoHZTNpD8" \t "_blank" </w:instrText>
      </w:r>
      <w:r w:rsidR="009F76FA">
        <w:fldChar w:fldCharType="separate"/>
      </w:r>
      <w:r w:rsidR="00971440" w:rsidRPr="00971440">
        <w:rPr>
          <w:rStyle w:val="Hyperlink"/>
          <w:color w:val="auto"/>
          <w:sz w:val="18"/>
          <w:szCs w:val="18"/>
          <w:u w:val="none"/>
        </w:rPr>
        <w:t>Jl. Dr. T. Mansur No. 9, Kampus Padang Bulan, Medan, 20155, Sumatera Utara</w:t>
      </w:r>
      <w:r w:rsidR="009F76FA">
        <w:rPr>
          <w:rStyle w:val="Hyperlink"/>
          <w:color w:val="auto"/>
          <w:sz w:val="18"/>
          <w:szCs w:val="18"/>
          <w:u w:val="none"/>
        </w:rPr>
        <w:fldChar w:fldCharType="end"/>
      </w:r>
      <w:r w:rsidR="00971440">
        <w:rPr>
          <w:sz w:val="18"/>
          <w:szCs w:val="18"/>
        </w:rPr>
        <w:t xml:space="preserve"> - Indonesia</w:t>
      </w:r>
    </w:p>
    <w:p w14:paraId="270B44B0" w14:textId="5CA7E879" w:rsidR="00426EDD" w:rsidRPr="00426EDD" w:rsidRDefault="00A85252" w:rsidP="00426EDD">
      <w:pPr>
        <w:spacing w:after="0" w:line="240" w:lineRule="auto"/>
        <w:ind w:right="-6"/>
        <w:rPr>
          <w:sz w:val="18"/>
          <w:szCs w:val="18"/>
        </w:rPr>
      </w:pPr>
      <w:r>
        <w:rPr>
          <w:sz w:val="18"/>
          <w:szCs w:val="18"/>
        </w:rPr>
        <w:t xml:space="preserve"> </w:t>
      </w:r>
      <w:proofErr w:type="gramStart"/>
      <w:r>
        <w:rPr>
          <w:i/>
          <w:sz w:val="18"/>
          <w:szCs w:val="18"/>
          <w:vertAlign w:val="superscript"/>
        </w:rPr>
        <w:t>*)</w:t>
      </w:r>
      <w:r>
        <w:rPr>
          <w:i/>
          <w:sz w:val="18"/>
          <w:szCs w:val="18"/>
        </w:rPr>
        <w:t>E</w:t>
      </w:r>
      <w:proofErr w:type="gramEnd"/>
      <w:r>
        <w:rPr>
          <w:i/>
          <w:sz w:val="18"/>
          <w:szCs w:val="18"/>
        </w:rPr>
        <w:t>-mail korespondensi:</w:t>
      </w:r>
      <w:r w:rsidR="00971440">
        <w:rPr>
          <w:i/>
          <w:sz w:val="18"/>
          <w:szCs w:val="18"/>
        </w:rPr>
        <w:t xml:space="preserve"> </w:t>
      </w:r>
      <w:hyperlink r:id="rId9" w:history="1">
        <w:r w:rsidR="00971440" w:rsidRPr="00EA2D19">
          <w:rPr>
            <w:rStyle w:val="Hyperlink"/>
            <w:i/>
            <w:sz w:val="18"/>
            <w:szCs w:val="18"/>
          </w:rPr>
          <w:t>wahyuindahsari@dosen.pancabudi.ac.id</w:t>
        </w:r>
      </w:hyperlink>
      <w:r w:rsidR="00971440">
        <w:rPr>
          <w:i/>
          <w:color w:val="0563C1"/>
          <w:sz w:val="18"/>
          <w:szCs w:val="18"/>
          <w:u w:val="single"/>
        </w:rPr>
        <w:t xml:space="preserve"> </w:t>
      </w:r>
    </w:p>
    <w:p w14:paraId="7E2B737C" w14:textId="77777777" w:rsidR="00426EDD" w:rsidRDefault="00426EDD" w:rsidP="00426EDD">
      <w:pPr>
        <w:spacing w:after="0" w:line="240" w:lineRule="auto"/>
        <w:jc w:val="center"/>
        <w:rPr>
          <w:sz w:val="20"/>
          <w:szCs w:val="20"/>
        </w:rPr>
      </w:pPr>
    </w:p>
    <w:p w14:paraId="0B81EDDE" w14:textId="1AC2C720" w:rsidR="00A85252" w:rsidRDefault="00A85252" w:rsidP="00426EDD">
      <w:pPr>
        <w:spacing w:after="0" w:line="240" w:lineRule="auto"/>
        <w:jc w:val="center"/>
        <w:rPr>
          <w:i/>
          <w:sz w:val="20"/>
          <w:szCs w:val="20"/>
        </w:rPr>
      </w:pPr>
      <w:r>
        <w:rPr>
          <w:sz w:val="20"/>
          <w:szCs w:val="20"/>
        </w:rPr>
        <w:t xml:space="preserve">Diterima: </w:t>
      </w:r>
      <w:r w:rsidR="009F76FA">
        <w:rPr>
          <w:sz w:val="20"/>
          <w:szCs w:val="20"/>
        </w:rPr>
        <w:t>18 Desember</w:t>
      </w:r>
      <w:r w:rsidR="003B51C8">
        <w:rPr>
          <w:sz w:val="20"/>
          <w:szCs w:val="20"/>
        </w:rPr>
        <w:t xml:space="preserve"> 2025</w:t>
      </w:r>
      <w:r>
        <w:rPr>
          <w:sz w:val="20"/>
          <w:szCs w:val="20"/>
        </w:rPr>
        <w:t xml:space="preserve"> | Direvisi: </w:t>
      </w:r>
      <w:r w:rsidR="003B51C8">
        <w:rPr>
          <w:sz w:val="20"/>
          <w:szCs w:val="20"/>
        </w:rPr>
        <w:t>22 Desember 2025</w:t>
      </w:r>
      <w:r>
        <w:rPr>
          <w:sz w:val="20"/>
          <w:szCs w:val="20"/>
        </w:rPr>
        <w:t xml:space="preserve"> | Disetujui: </w:t>
      </w:r>
      <w:r w:rsidR="003B51C8">
        <w:rPr>
          <w:sz w:val="20"/>
          <w:szCs w:val="20"/>
        </w:rPr>
        <w:t>29 Desember 2025</w:t>
      </w:r>
      <w:r>
        <w:rPr>
          <w:sz w:val="20"/>
          <w:szCs w:val="20"/>
        </w:rPr>
        <w:t xml:space="preserve"> | Publikasi online: </w:t>
      </w:r>
      <w:r>
        <w:rPr>
          <w:noProof/>
        </w:rPr>
        <w:drawing>
          <wp:anchor distT="0" distB="0" distL="114300" distR="114300" simplePos="0" relativeHeight="251675648" behindDoc="0" locked="0" layoutInCell="1" allowOverlap="1" wp14:anchorId="56214327" wp14:editId="734D6887">
            <wp:simplePos x="0" y="0"/>
            <wp:positionH relativeFrom="column">
              <wp:posOffset>114300</wp:posOffset>
            </wp:positionH>
            <wp:positionV relativeFrom="paragraph">
              <wp:posOffset>0</wp:posOffset>
            </wp:positionV>
            <wp:extent cx="19050" cy="19050"/>
            <wp:effectExtent l="0" t="0" r="0" b="0"/>
            <wp:wrapNone/>
            <wp:docPr id="2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19050" cy="19050"/>
                    </a:xfrm>
                    <a:prstGeom prst="rect">
                      <a:avLst/>
                    </a:prstGeom>
                    <a:ln/>
                  </pic:spPr>
                </pic:pic>
              </a:graphicData>
            </a:graphic>
          </wp:anchor>
        </w:drawing>
      </w:r>
      <w:r w:rsidR="003B51C8">
        <w:rPr>
          <w:sz w:val="20"/>
          <w:szCs w:val="20"/>
        </w:rPr>
        <w:t>30 Desember 2025</w:t>
      </w:r>
    </w:p>
    <w:p w14:paraId="128F031E" w14:textId="77777777" w:rsidR="00C61C52" w:rsidRPr="00DC10ED" w:rsidRDefault="00DA5E85" w:rsidP="00DC10ED">
      <w:pPr>
        <w:spacing w:after="0"/>
        <w:ind w:right="-6"/>
        <w:rPr>
          <w:sz w:val="18"/>
          <w:szCs w:val="18"/>
        </w:rPr>
      </w:pPr>
      <w:r>
        <w:rPr>
          <w:noProof/>
        </w:rPr>
        <mc:AlternateContent>
          <mc:Choice Requires="wps">
            <w:drawing>
              <wp:anchor distT="4294967295" distB="4294967295" distL="114300" distR="114300" simplePos="0" relativeHeight="251653120" behindDoc="0" locked="0" layoutInCell="1" allowOverlap="1" wp14:anchorId="63961ADC" wp14:editId="72F61E21">
                <wp:simplePos x="0" y="0"/>
                <wp:positionH relativeFrom="column">
                  <wp:posOffset>-78105</wp:posOffset>
                </wp:positionH>
                <wp:positionV relativeFrom="paragraph">
                  <wp:posOffset>62865</wp:posOffset>
                </wp:positionV>
                <wp:extent cx="5924550" cy="0"/>
                <wp:effectExtent l="0" t="12700" r="19050" b="1270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4550" cy="0"/>
                        </a:xfrm>
                        <a:prstGeom prst="line">
                          <a:avLst/>
                        </a:prstGeom>
                        <a:noFill/>
                        <a:ln w="25400">
                          <a:solidFill>
                            <a:schemeClr val="accent3">
                              <a:lumMod val="20000"/>
                              <a:lumOff val="8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58143B" id="Straight Connector 4"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15pt,4.95pt" to="460.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" strokecolor="#eaf1dd [662]" strokeweight="2pt">
                <v:stroke joinstyle="miter"/>
                <o:lock v:ext="edit" shapetype="f"/>
              </v:line>
            </w:pict>
          </mc:Fallback>
        </mc:AlternateContent>
      </w:r>
    </w:p>
    <w:tbl>
      <w:tblPr>
        <w:tblW w:w="0" w:type="auto"/>
        <w:tblLook w:val="04A0" w:firstRow="1" w:lastRow="0" w:firstColumn="1" w:lastColumn="0" w:noHBand="0" w:noVBand="1"/>
      </w:tblPr>
      <w:tblGrid>
        <w:gridCol w:w="9288"/>
      </w:tblGrid>
      <w:tr w:rsidR="00215EA4" w:rsidRPr="00F12721" w14:paraId="3387D7D2" w14:textId="77777777" w:rsidTr="00755405">
        <w:tc>
          <w:tcPr>
            <w:tcW w:w="9288" w:type="dxa"/>
            <w:shd w:val="clear" w:color="auto" w:fill="EAF1DD" w:themeFill="accent3" w:themeFillTint="33"/>
          </w:tcPr>
          <w:p w14:paraId="1377427C" w14:textId="77777777" w:rsidR="00D2182E" w:rsidRPr="008E383D" w:rsidRDefault="00D2182E" w:rsidP="00D2182E">
            <w:pPr>
              <w:spacing w:before="240" w:line="240" w:lineRule="auto"/>
              <w:jc w:val="center"/>
              <w:rPr>
                <w:b/>
                <w:i/>
                <w:sz w:val="20"/>
                <w:szCs w:val="20"/>
              </w:rPr>
            </w:pPr>
            <w:r w:rsidRPr="008E383D">
              <w:rPr>
                <w:b/>
                <w:i/>
                <w:sz w:val="20"/>
                <w:szCs w:val="20"/>
              </w:rPr>
              <w:t>ABSTRACT</w:t>
            </w:r>
          </w:p>
          <w:p w14:paraId="613E4571" w14:textId="3241AD46" w:rsidR="00A85252" w:rsidRPr="00E83835" w:rsidRDefault="00426EDD" w:rsidP="00E83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i/>
                <w:color w:val="202124"/>
                <w:sz w:val="20"/>
                <w:szCs w:val="20"/>
                <w:lang w:val="en-ID"/>
              </w:rPr>
            </w:pPr>
            <w:r w:rsidRPr="00426EDD">
              <w:rPr>
                <w:rFonts w:eastAsia="Times New Roman"/>
                <w:i/>
                <w:color w:val="202124"/>
                <w:sz w:val="20"/>
                <w:szCs w:val="20"/>
              </w:rPr>
              <w:t xml:space="preserve">This study aims to analyze the dynamic interactions between monetary and fiscal policies and their effects on inflation and unemployment in Indonesia. The study employs </w:t>
            </w:r>
            <w:r w:rsidRPr="00E43253">
              <w:rPr>
                <w:rFonts w:eastAsia="Times New Roman"/>
                <w:i/>
                <w:color w:val="202124"/>
                <w:sz w:val="20"/>
                <w:szCs w:val="20"/>
              </w:rPr>
              <w:t>a Vector Autoregression (VAR) approach using annual data from 2000 to 2024. The variables include the policy interest rate (BI Rate), inflation, unemployment, GDP growth, government expenditure, exchange rate,</w:t>
            </w:r>
            <w:r w:rsidRPr="00426EDD">
              <w:rPr>
                <w:rFonts w:eastAsia="Times New Roman"/>
                <w:i/>
                <w:color w:val="202124"/>
                <w:sz w:val="20"/>
                <w:szCs w:val="20"/>
              </w:rPr>
              <w:t xml:space="preserve"> and tax revenue.</w:t>
            </w:r>
            <w:r>
              <w:rPr>
                <w:rFonts w:eastAsia="Times New Roman"/>
                <w:i/>
                <w:color w:val="202124"/>
                <w:sz w:val="20"/>
                <w:szCs w:val="20"/>
              </w:rPr>
              <w:t xml:space="preserve"> </w:t>
            </w:r>
            <w:r w:rsidRPr="00426EDD">
              <w:rPr>
                <w:rFonts w:eastAsia="Times New Roman"/>
                <w:i/>
                <w:color w:val="202124"/>
                <w:sz w:val="20"/>
                <w:szCs w:val="20"/>
              </w:rPr>
              <w:t xml:space="preserve">The unit root tests indicate that the variables exhibit a combination of </w:t>
            </w:r>
            <w:proofErr w:type="gramStart"/>
            <w:r w:rsidRPr="00426EDD">
              <w:rPr>
                <w:rFonts w:eastAsia="Times New Roman"/>
                <w:i/>
                <w:color w:val="202124"/>
                <w:sz w:val="20"/>
                <w:szCs w:val="20"/>
              </w:rPr>
              <w:t>I(</w:t>
            </w:r>
            <w:proofErr w:type="gramEnd"/>
            <w:r w:rsidRPr="00426EDD">
              <w:rPr>
                <w:rFonts w:eastAsia="Times New Roman"/>
                <w:i/>
                <w:color w:val="202124"/>
                <w:sz w:val="20"/>
                <w:szCs w:val="20"/>
              </w:rPr>
              <w:t>0) and I(1) integration orders, while the Johansen cointegration test confirms the existence of a long-run equilibrium relationship among the variables. The optimal lag length is determined to be two, and the stability test confirms that the VAR model is stable. The Granger causality test reveals that the BI Rate significantly Granger-causes inflation and unemployment, whereas reverse causality is not supported. In addition, inflation is found to Granger-cause unemployment, and fiscal as well as external variables—government expenditure, tax revenue, and exchange rate—significantly affect inflation.</w:t>
            </w:r>
            <w:r w:rsidRPr="00426EDD">
              <w:t xml:space="preserve"> </w:t>
            </w:r>
            <w:r w:rsidRPr="00426EDD">
              <w:rPr>
                <w:rFonts w:eastAsia="Times New Roman"/>
                <w:i/>
                <w:color w:val="202124"/>
                <w:sz w:val="20"/>
                <w:szCs w:val="20"/>
              </w:rPr>
              <w:t>The Impulse Response Function (IRF) results show that a positive shock to the policy interest rate gradually reduces inflation but leads to a short-run increase in unemployment. Furthermore, the Forecast Error Variance Decomposition (FEVD) indicates that inflation variability is largely driven by monetary policy shocks, while unemployment and economic growth fluctuations are mainly explained by fiscal policy and internal economic dynamics. These findings highlight the importance of strong coordination between monetary and fiscal policies to maintain macroeconomic stability in Indonesia.</w:t>
            </w:r>
          </w:p>
          <w:p w14:paraId="2CFAFB4F" w14:textId="4412F23B" w:rsidR="00215EA4" w:rsidRPr="008E383D" w:rsidRDefault="00A85252" w:rsidP="00A85252">
            <w:pPr>
              <w:spacing w:line="240" w:lineRule="auto"/>
              <w:ind w:right="-6"/>
              <w:jc w:val="both"/>
              <w:rPr>
                <w:i/>
                <w:color w:val="000000"/>
                <w:sz w:val="20"/>
                <w:szCs w:val="20"/>
              </w:rPr>
            </w:pPr>
            <w:r>
              <w:rPr>
                <w:b/>
                <w:i/>
                <w:sz w:val="20"/>
                <w:szCs w:val="20"/>
              </w:rPr>
              <w:t xml:space="preserve">Kata kunci: </w:t>
            </w:r>
            <w:r w:rsidR="00426EDD" w:rsidRPr="00426EDD">
              <w:rPr>
                <w:i/>
                <w:sz w:val="20"/>
                <w:szCs w:val="20"/>
              </w:rPr>
              <w:t>monetary policy, fiscal policy, inflation, unemployment, VAR.</w:t>
            </w:r>
          </w:p>
        </w:tc>
      </w:tr>
      <w:tr w:rsidR="00215EA4" w:rsidRPr="00F12721" w14:paraId="372D577D" w14:textId="77777777" w:rsidTr="00755405">
        <w:tc>
          <w:tcPr>
            <w:tcW w:w="9288" w:type="dxa"/>
          </w:tcPr>
          <w:p w14:paraId="7D6F701F" w14:textId="77777777" w:rsidR="00215EA4" w:rsidRPr="002C7E32" w:rsidRDefault="00215EA4" w:rsidP="00F12721">
            <w:pPr>
              <w:spacing w:after="0"/>
              <w:rPr>
                <w:rFonts w:eastAsia="Times New Roman"/>
                <w:sz w:val="16"/>
                <w:szCs w:val="24"/>
              </w:rPr>
            </w:pPr>
          </w:p>
        </w:tc>
      </w:tr>
      <w:tr w:rsidR="00215EA4" w:rsidRPr="00F12721" w14:paraId="3B043563" w14:textId="77777777" w:rsidTr="00755405">
        <w:tc>
          <w:tcPr>
            <w:tcW w:w="9288" w:type="dxa"/>
            <w:shd w:val="clear" w:color="auto" w:fill="EAF1DD" w:themeFill="accent3" w:themeFillTint="33"/>
          </w:tcPr>
          <w:p w14:paraId="6182248F" w14:textId="77777777" w:rsidR="00215EA4" w:rsidRPr="009644B9" w:rsidRDefault="00215EA4" w:rsidP="009644B9">
            <w:pPr>
              <w:pStyle w:val="ListParagraph"/>
              <w:widowControl w:val="0"/>
              <w:overflowPunct w:val="0"/>
              <w:autoSpaceDE w:val="0"/>
              <w:autoSpaceDN w:val="0"/>
              <w:adjustRightInd w:val="0"/>
              <w:spacing w:before="120" w:after="120" w:line="240" w:lineRule="auto"/>
              <w:ind w:left="0" w:right="45"/>
              <w:jc w:val="center"/>
              <w:rPr>
                <w:rFonts w:eastAsia="Times New Roman"/>
                <w:sz w:val="24"/>
                <w:szCs w:val="20"/>
                <w:lang w:val="en-US" w:eastAsia="en-ID"/>
              </w:rPr>
            </w:pPr>
            <w:r w:rsidRPr="009644B9">
              <w:rPr>
                <w:rFonts w:eastAsia="Times New Roman"/>
                <w:b/>
                <w:szCs w:val="20"/>
              </w:rPr>
              <w:t>ABSTRA</w:t>
            </w:r>
            <w:r w:rsidRPr="009644B9">
              <w:rPr>
                <w:rFonts w:eastAsia="Times New Roman"/>
                <w:b/>
                <w:szCs w:val="20"/>
                <w:lang w:val="en-US"/>
              </w:rPr>
              <w:t>K</w:t>
            </w:r>
          </w:p>
          <w:p w14:paraId="58C16D18" w14:textId="77777777" w:rsidR="008524FB" w:rsidRPr="00071748" w:rsidRDefault="008524FB" w:rsidP="008524FB">
            <w:pPr>
              <w:spacing w:line="14" w:lineRule="exact"/>
              <w:rPr>
                <w:sz w:val="20"/>
                <w:szCs w:val="20"/>
                <w:lang w:val="id-ID"/>
              </w:rPr>
            </w:pPr>
          </w:p>
          <w:p w14:paraId="0F83282F" w14:textId="13553314" w:rsidR="00E83835" w:rsidRPr="00426EDD" w:rsidRDefault="00426EDD" w:rsidP="00E83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i/>
                <w:color w:val="202124"/>
                <w:sz w:val="20"/>
                <w:szCs w:val="20"/>
              </w:rPr>
            </w:pPr>
            <w:r w:rsidRPr="00426EDD">
              <w:rPr>
                <w:rFonts w:eastAsia="Times New Roman"/>
                <w:i/>
                <w:color w:val="202124"/>
                <w:sz w:val="20"/>
                <w:szCs w:val="20"/>
              </w:rPr>
              <w:t xml:space="preserve">Penelitian ini bertujuan untuk menganalisis dinamika interaksi kebijakan moneter dan fiskal serta pengaruhnya terhadap inflasi dan pengangguran di Indonesia. Metode yang digunakan </w:t>
            </w:r>
            <w:r w:rsidRPr="00E43253">
              <w:rPr>
                <w:rFonts w:eastAsia="Times New Roman"/>
                <w:i/>
                <w:color w:val="202124"/>
                <w:sz w:val="20"/>
                <w:szCs w:val="20"/>
              </w:rPr>
              <w:t>adalah Vector Autoregression (VAR) dengan data tahunan periode 2000–2024. Variabel penelitian meliputi suku b</w:t>
            </w:r>
            <w:r w:rsidRPr="00426EDD">
              <w:rPr>
                <w:rFonts w:eastAsia="Times New Roman"/>
                <w:i/>
                <w:color w:val="202124"/>
                <w:sz w:val="20"/>
                <w:szCs w:val="20"/>
              </w:rPr>
              <w:t>unga kebijakan (BI Rate), inflasi, tingkat pengangguran, pertumbuhan GDP, belanja pemerintah, nilai tukar, dan pajak.</w:t>
            </w:r>
            <w:r>
              <w:rPr>
                <w:rFonts w:eastAsia="Times New Roman"/>
                <w:i/>
                <w:color w:val="202124"/>
                <w:sz w:val="20"/>
                <w:szCs w:val="20"/>
              </w:rPr>
              <w:t xml:space="preserve"> </w:t>
            </w:r>
            <w:r w:rsidRPr="00426EDD">
              <w:rPr>
                <w:rFonts w:eastAsia="Times New Roman"/>
                <w:i/>
                <w:color w:val="202124"/>
                <w:sz w:val="20"/>
                <w:szCs w:val="20"/>
              </w:rPr>
              <w:t xml:space="preserve">Hasil uji stasioneritas menunjukkan bahwa variabel memiliki kombinasi orde integrasi </w:t>
            </w:r>
            <w:proofErr w:type="gramStart"/>
            <w:r w:rsidRPr="00426EDD">
              <w:rPr>
                <w:rFonts w:eastAsia="Times New Roman"/>
                <w:i/>
                <w:color w:val="202124"/>
                <w:sz w:val="20"/>
                <w:szCs w:val="20"/>
              </w:rPr>
              <w:t>I(</w:t>
            </w:r>
            <w:proofErr w:type="gramEnd"/>
            <w:r w:rsidRPr="00426EDD">
              <w:rPr>
                <w:rFonts w:eastAsia="Times New Roman"/>
                <w:i/>
                <w:color w:val="202124"/>
                <w:sz w:val="20"/>
                <w:szCs w:val="20"/>
              </w:rPr>
              <w:t>0) dan I(1), sedangkan uji kointegrasi Johansen mengindikasikan adanya hubungan keseimbangan jangka panjang antar variabel. Penentuan lag optimal menghasilkan lag 2 dan uji stabilitas menunjukkan bahwa model VAR bersifat stabil. Uji kausalitas Granger menunjukkan bahwa BI Rate secara signifikan menyebabkan inflasi dan pengangguran, sementara hubungan sebaliknya tidak terbukti. Selain itu, inflasi terbukti menyebabkan pengangguran, serta belanja pemerintah, pajak, dan nilai tukar memiliki hubungan kausalitas terhadap inflasi.</w:t>
            </w:r>
            <w:r w:rsidRPr="00426EDD">
              <w:t xml:space="preserve"> </w:t>
            </w:r>
            <w:r w:rsidRPr="00426EDD">
              <w:rPr>
                <w:rFonts w:eastAsia="Times New Roman"/>
                <w:i/>
                <w:color w:val="202124"/>
                <w:sz w:val="20"/>
                <w:szCs w:val="20"/>
              </w:rPr>
              <w:t>Hasil Impulse Response Function (IRF) menunjukkan bahwa guncangan suku bunga kebijakan menurunkan inflasi setelah beberapa periode, namun meningkatkan pengangguran dalam jangka pendek. Sementara itu, hasil Forecast Error Variance Decomposition (FEVD) menunjukkan bahwa variasi inflasi didominasi oleh shock kebijakan moneter, sedangkan variasi pengangguran dan pertumbuhan ekonomi lebih banyak dipengaruhi oleh kebijakan fiskal dan dinamika ekonomi internal. Temuan ini menegaskan pentingnya koordinasi kebijakan moneter dan fiskal dalam menjaga stabilitas makroekonomi di Indonesia.</w:t>
            </w:r>
          </w:p>
          <w:p w14:paraId="35A94D38" w14:textId="7656EBAD" w:rsidR="00E828CC" w:rsidRPr="00755405" w:rsidRDefault="00022A16" w:rsidP="00E83835">
            <w:pPr>
              <w:spacing w:line="240" w:lineRule="auto"/>
              <w:ind w:right="-6"/>
              <w:jc w:val="both"/>
              <w:rPr>
                <w:sz w:val="20"/>
                <w:szCs w:val="20"/>
              </w:rPr>
            </w:pPr>
            <w:r>
              <w:rPr>
                <w:b/>
                <w:sz w:val="20"/>
                <w:szCs w:val="20"/>
              </w:rPr>
              <w:t xml:space="preserve">Kata kunci: </w:t>
            </w:r>
            <w:r w:rsidR="00426EDD" w:rsidRPr="00426EDD">
              <w:rPr>
                <w:i/>
                <w:sz w:val="20"/>
                <w:szCs w:val="20"/>
              </w:rPr>
              <w:t>kebijakan moneter, kebijakan fiskal, inflasi, pengangguran, VAR.</w:t>
            </w:r>
          </w:p>
        </w:tc>
      </w:tr>
    </w:tbl>
    <w:p w14:paraId="402549C3" w14:textId="2C2CAC1E" w:rsidR="00C61C52" w:rsidRPr="0069733F" w:rsidRDefault="00DA5E85" w:rsidP="00426EDD">
      <w:pPr>
        <w:rPr>
          <w:sz w:val="16"/>
          <w:szCs w:val="24"/>
          <w:lang w:val="id-ID"/>
        </w:rPr>
        <w:sectPr w:rsidR="00C61C52" w:rsidRPr="0069733F">
          <w:headerReference w:type="default" r:id="rId11"/>
          <w:footerReference w:type="even" r:id="rId12"/>
          <w:footerReference w:type="default" r:id="rId13"/>
          <w:headerReference w:type="first" r:id="rId14"/>
          <w:footerReference w:type="first" r:id="rId15"/>
          <w:type w:val="continuous"/>
          <w:pgSz w:w="11907" w:h="16839"/>
          <w:pgMar w:top="1134" w:right="1134" w:bottom="1134" w:left="1701" w:header="709" w:footer="709" w:gutter="0"/>
          <w:pgNumType w:start="169"/>
          <w:cols w:space="720"/>
          <w:titlePg/>
          <w:docGrid w:linePitch="360"/>
        </w:sectPr>
      </w:pPr>
      <w:r>
        <w:rPr>
          <w:noProof/>
          <w:sz w:val="16"/>
          <w:szCs w:val="24"/>
        </w:rPr>
        <mc:AlternateContent>
          <mc:Choice Requires="wps">
            <w:drawing>
              <wp:anchor distT="0" distB="0" distL="114300" distR="114300" simplePos="0" relativeHeight="251654144" behindDoc="0" locked="0" layoutInCell="1" allowOverlap="1" wp14:anchorId="350BA606" wp14:editId="66EED424">
                <wp:simplePos x="0" y="0"/>
                <wp:positionH relativeFrom="column">
                  <wp:posOffset>-81915</wp:posOffset>
                </wp:positionH>
                <wp:positionV relativeFrom="paragraph">
                  <wp:posOffset>158750</wp:posOffset>
                </wp:positionV>
                <wp:extent cx="5928360" cy="0"/>
                <wp:effectExtent l="0" t="12700" r="15240" b="12700"/>
                <wp:wrapSquare wrapText="bothSides"/>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8360" cy="0"/>
                        </a:xfrm>
                        <a:prstGeom prst="line">
                          <a:avLst/>
                        </a:prstGeom>
                        <a:noFill/>
                        <a:ln w="25400">
                          <a:solidFill>
                            <a:schemeClr val="accent3">
                              <a:lumMod val="20000"/>
                              <a:lumOff val="8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C065B9" id="Straight Connector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6.45pt,12.5pt" to="460.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" strokecolor="#eaf1dd [662]" strokeweight="2pt">
                <v:stroke joinstyle="miter"/>
                <o:lock v:ext="edit" shapetype="f"/>
                <w10:wrap type="square"/>
              </v:line>
            </w:pict>
          </mc:Fallback>
        </mc:AlternateContent>
      </w:r>
    </w:p>
    <w:p w14:paraId="718B9820" w14:textId="77777777" w:rsidR="00022A16" w:rsidRPr="003B220A" w:rsidRDefault="00022A16" w:rsidP="003B220A">
      <w:pPr>
        <w:spacing w:after="0" w:line="240" w:lineRule="auto"/>
        <w:rPr>
          <w:b/>
        </w:rPr>
      </w:pPr>
      <w:r w:rsidRPr="003B220A">
        <w:rPr>
          <w:b/>
        </w:rPr>
        <w:lastRenderedPageBreak/>
        <w:t>PENDAHULUAN</w:t>
      </w:r>
    </w:p>
    <w:p w14:paraId="4D4D9045" w14:textId="4768B684" w:rsidR="003B220A" w:rsidRDefault="007B09D7" w:rsidP="00665287">
      <w:pPr>
        <w:spacing w:after="0" w:line="240" w:lineRule="auto"/>
        <w:jc w:val="both"/>
      </w:pPr>
      <w:proofErr w:type="gramStart"/>
      <w:r w:rsidRPr="003B220A">
        <w:rPr>
          <w:rFonts w:eastAsia="Times New Roman"/>
        </w:rPr>
        <w:t>Stabilitas harga dan kesempatan kerja merupakan dua sasaran makroekonomi yang secara praktis selalu berada di pusat perumusan kebijakan di Indonesia</w:t>
      </w:r>
      <w:r w:rsidR="003B220A">
        <w:rPr>
          <w:rFonts w:eastAsia="Times New Roman"/>
        </w:rPr>
        <w:t xml:space="preserve"> </w:t>
      </w:r>
      <w:sdt>
        <w:sdtPr>
          <w:rPr>
            <w:rFonts w:eastAsia="Times New Roman"/>
            <w:color w:val="000000"/>
          </w:rPr>
          <w:tag w:val="MENDELEY_CITATION_v3_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"/>
          <w:id w:val="656729602"/>
          <w:placeholder>
            <w:docPart w:val="DefaultPlaceholder_-1854013440"/>
          </w:placeholder>
        </w:sdtPr>
        <w:sdtContent>
          <w:r w:rsidR="00B00617" w:rsidRPr="00B00617">
            <w:rPr>
              <w:rFonts w:eastAsia="Times New Roman"/>
              <w:color w:val="000000"/>
            </w:rPr>
            <w:t>(IMF, 2022)</w:t>
          </w:r>
        </w:sdtContent>
      </w:sdt>
      <w:r w:rsidRPr="003B220A">
        <w:rPr>
          <w:rFonts w:eastAsia="Times New Roman"/>
        </w:rPr>
        <w:t>.</w:t>
      </w:r>
      <w:proofErr w:type="gramEnd"/>
      <w:r w:rsidRPr="003B220A">
        <w:rPr>
          <w:rFonts w:eastAsia="Times New Roman"/>
        </w:rPr>
        <w:t xml:space="preserve"> </w:t>
      </w:r>
      <w:proofErr w:type="gramStart"/>
      <w:r w:rsidRPr="003B220A">
        <w:rPr>
          <w:rFonts w:eastAsia="Times New Roman"/>
        </w:rPr>
        <w:t>Setelah periode pemulihan pasca‑krisis dan transformasi kelembagaan, tantangan stabilitas kembali menguat pada fase pandemi COVID‑19 dan normalisasi pascapandemi</w:t>
      </w:r>
      <w:r w:rsidR="003B220A">
        <w:rPr>
          <w:rFonts w:eastAsia="Times New Roman"/>
        </w:rPr>
        <w:t xml:space="preserve"> </w:t>
      </w:r>
      <w:sdt>
        <w:sdtPr>
          <w:rPr>
            <w:rFonts w:eastAsia="Times New Roman"/>
            <w:color w:val="000000"/>
          </w:rPr>
          <w:tag w:val="MENDELEY_CITATION_v3_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"/>
          <w:id w:val="121197386"/>
          <w:placeholder>
            <w:docPart w:val="DefaultPlaceholder_-1854013440"/>
          </w:placeholder>
        </w:sdtPr>
        <w:sdtContent>
          <w:r w:rsidR="00B00617" w:rsidRPr="00B00617">
            <w:rPr>
              <w:rFonts w:eastAsia="Times New Roman"/>
              <w:color w:val="000000"/>
            </w:rPr>
            <w:t>(Cornelli et al., 2024)</w:t>
          </w:r>
        </w:sdtContent>
      </w:sdt>
      <w:r w:rsidRPr="003B220A">
        <w:rPr>
          <w:rFonts w:eastAsia="Times New Roman"/>
        </w:rPr>
        <w:t>.</w:t>
      </w:r>
      <w:proofErr w:type="gramEnd"/>
      <w:r w:rsidRPr="003B220A">
        <w:rPr>
          <w:rFonts w:eastAsia="Times New Roman"/>
        </w:rPr>
        <w:t xml:space="preserve"> </w:t>
      </w:r>
      <w:proofErr w:type="gramStart"/>
      <w:r w:rsidRPr="003B220A">
        <w:rPr>
          <w:rFonts w:eastAsia="Times New Roman"/>
        </w:rPr>
        <w:t xml:space="preserve">Dalam konteks ini, Bank Indonesia menekankan </w:t>
      </w:r>
      <w:r w:rsidR="003B220A">
        <w:rPr>
          <w:rFonts w:eastAsia="Times New Roman"/>
        </w:rPr>
        <w:t>“</w:t>
      </w:r>
      <w:r w:rsidRPr="003B220A">
        <w:rPr>
          <w:rFonts w:eastAsia="Times New Roman"/>
          <w:i/>
          <w:iCs/>
        </w:rPr>
        <w:t>policy mix</w:t>
      </w:r>
      <w:r w:rsidR="003B220A">
        <w:rPr>
          <w:rFonts w:eastAsia="Times New Roman"/>
        </w:rPr>
        <w:t>”</w:t>
      </w:r>
      <w:r w:rsidRPr="003B220A">
        <w:rPr>
          <w:rFonts w:eastAsia="Times New Roman"/>
        </w:rPr>
        <w:t xml:space="preserve"> untuk menjaga inflasi dalam sasaran dan stabilitas nilai tukar, sekaligus mendukung pertumbuhan berkelanjutan </w:t>
      </w:r>
      <w:sdt>
        <w:sdtPr>
          <w:rPr>
            <w:rFonts w:eastAsia="Times New Roman"/>
            <w:color w:val="000000"/>
          </w:rPr>
          <w:tag w:val="MENDELEY_CITATION_v3_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"/>
          <w:id w:val="-1909056676"/>
          <w:placeholder>
            <w:docPart w:val="DefaultPlaceholder_-1854013440"/>
          </w:placeholder>
        </w:sdtPr>
        <w:sdtContent>
          <w:r w:rsidR="00B00617" w:rsidRPr="00B00617">
            <w:rPr>
              <w:rFonts w:eastAsia="Times New Roman"/>
              <w:color w:val="000000"/>
            </w:rPr>
            <w:t>(Bank Indonesia, 2024)</w:t>
          </w:r>
        </w:sdtContent>
      </w:sdt>
      <w:r w:rsidRPr="003B220A">
        <w:rPr>
          <w:rFonts w:eastAsia="Times New Roman"/>
        </w:rPr>
        <w:t>.</w:t>
      </w:r>
      <w:proofErr w:type="gramEnd"/>
      <w:r w:rsidRPr="003B220A">
        <w:rPr>
          <w:rFonts w:eastAsia="Times New Roman"/>
        </w:rPr>
        <w:t xml:space="preserve"> </w:t>
      </w:r>
      <w:proofErr w:type="gramStart"/>
      <w:r w:rsidRPr="003B220A">
        <w:rPr>
          <w:rFonts w:eastAsia="Times New Roman"/>
        </w:rPr>
        <w:t xml:space="preserve">Lembaga internasional juga menyoroti bahwa penguatan koordinasi kebijakan moneter dan fiskal menjadi semakin penting ketika perekonomian menghadapi guncangan besar dan ketidakpastian tinggi </w:t>
      </w:r>
      <w:sdt>
        <w:sdtPr>
          <w:rPr>
            <w:rFonts w:eastAsia="Times New Roman"/>
            <w:color w:val="000000"/>
          </w:rPr>
          <w:tag w:val="MENDELEY_CITATION_v3_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"/>
          <w:id w:val="-1633855129"/>
          <w:placeholder>
            <w:docPart w:val="DefaultPlaceholder_-1854013440"/>
          </w:placeholder>
        </w:sdtPr>
        <w:sdtContent>
          <w:r w:rsidR="00B00617" w:rsidRPr="00B00617">
            <w:rPr>
              <w:rFonts w:eastAsia="Times New Roman"/>
              <w:color w:val="000000"/>
            </w:rPr>
            <w:t>(Galati &amp; Moessner, 2011)</w:t>
          </w:r>
        </w:sdtContent>
      </w:sdt>
      <w:r w:rsidRPr="003B220A">
        <w:rPr>
          <w:rFonts w:eastAsia="Times New Roman"/>
        </w:rPr>
        <w:t>.</w:t>
      </w:r>
      <w:proofErr w:type="gramEnd"/>
    </w:p>
    <w:p w14:paraId="14BA0359" w14:textId="3FB34B6E" w:rsidR="007E0ED2" w:rsidRDefault="007B09D7" w:rsidP="00665287">
      <w:pPr>
        <w:spacing w:after="0" w:line="240" w:lineRule="auto"/>
        <w:jc w:val="both"/>
      </w:pPr>
      <w:r w:rsidRPr="003B220A">
        <w:rPr>
          <w:rFonts w:eastAsia="Times New Roman"/>
        </w:rPr>
        <w:t>Secara teoritis, hubungan kebijakan makro dengan inflasi dan pengangguran dapat dijelaskan melalui transmisi permintaan agregat dan kerangka Phillips curve</w:t>
      </w:r>
      <w:r w:rsidR="007E0ED2">
        <w:rPr>
          <w:rFonts w:eastAsia="Times New Roman"/>
        </w:rPr>
        <w:t xml:space="preserve"> </w:t>
      </w:r>
      <w:sdt>
        <w:sdtPr>
          <w:rPr>
            <w:rFonts w:eastAsia="Times New Roman"/>
            <w:color w:val="000000"/>
          </w:rPr>
          <w:tag w:val="MENDELEY_CITATION_v3_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"/>
          <w:id w:val="1727950081"/>
          <w:placeholder>
            <w:docPart w:val="DefaultPlaceholder_-1854013440"/>
          </w:placeholder>
        </w:sdtPr>
        <w:sdtContent>
          <w:r w:rsidR="00B00617" w:rsidRPr="00B00617">
            <w:rPr>
              <w:rFonts w:eastAsia="Times New Roman"/>
              <w:color w:val="000000"/>
            </w:rPr>
            <w:t>(Chen et al., 2023)</w:t>
          </w:r>
        </w:sdtContent>
      </w:sdt>
      <w:r w:rsidRPr="003B220A">
        <w:rPr>
          <w:rFonts w:eastAsia="Times New Roman"/>
        </w:rPr>
        <w:t xml:space="preserve">. </w:t>
      </w:r>
      <w:proofErr w:type="gramStart"/>
      <w:r w:rsidRPr="003B220A">
        <w:rPr>
          <w:rFonts w:eastAsia="Times New Roman"/>
        </w:rPr>
        <w:t>Pengetatan moneter lazimnya menurunkan tekanan inflasi melalui kenaikan suku bunga, penguatan ekspektasi inflasi, dan pengendalian permintaan, namun berpotensi memperlemah output dan pasar kerja dalam jangka pendek</w:t>
      </w:r>
      <w:r w:rsidR="007E0ED2">
        <w:rPr>
          <w:rFonts w:eastAsia="Times New Roman"/>
        </w:rPr>
        <w:t xml:space="preserve"> </w:t>
      </w:r>
      <w:sdt>
        <w:sdtPr>
          <w:rPr>
            <w:rFonts w:eastAsia="Times New Roman"/>
            <w:color w:val="000000"/>
          </w:rPr>
          <w:tag w:val="MENDELEY_CITATION_v3_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"/>
          <w:id w:val="294337832"/>
          <w:placeholder>
            <w:docPart w:val="DefaultPlaceholder_-1854013440"/>
          </w:placeholder>
        </w:sdtPr>
        <w:sdtContent>
          <w:r w:rsidR="00B00617" w:rsidRPr="00B00617">
            <w:rPr>
              <w:rFonts w:eastAsia="Times New Roman"/>
              <w:color w:val="000000"/>
            </w:rPr>
            <w:t>(Banerjee et al., 2023)</w:t>
          </w:r>
        </w:sdtContent>
      </w:sdt>
      <w:r w:rsidRPr="003B220A">
        <w:rPr>
          <w:rFonts w:eastAsia="Times New Roman"/>
        </w:rPr>
        <w:t>.</w:t>
      </w:r>
      <w:proofErr w:type="gramEnd"/>
      <w:r w:rsidRPr="003B220A">
        <w:rPr>
          <w:rFonts w:eastAsia="Times New Roman"/>
        </w:rPr>
        <w:t xml:space="preserve"> </w:t>
      </w:r>
      <w:proofErr w:type="gramStart"/>
      <w:r w:rsidRPr="003B220A">
        <w:rPr>
          <w:rFonts w:eastAsia="Times New Roman"/>
        </w:rPr>
        <w:t>Sebaliknya, ekspansi fiskal dapat menopang permintaan agregat dan menahan kenaikan pengangguran, tetapi dapat menambah tekanan inflasi—terutama ketika kapasitas produksi terbatas atau tekanan biaya meningkat</w:t>
      </w:r>
      <w:r w:rsidR="007E0ED2">
        <w:rPr>
          <w:rFonts w:eastAsia="Times New Roman"/>
        </w:rPr>
        <w:t xml:space="preserve"> </w:t>
      </w:r>
      <w:sdt>
        <w:sdtPr>
          <w:rPr>
            <w:rFonts w:eastAsia="Times New Roman"/>
            <w:color w:val="000000"/>
          </w:rPr>
          <w:tag w:val="MENDELEY_CITATION_v3_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"/>
          <w:id w:val="1083029347"/>
          <w:placeholder>
            <w:docPart w:val="DefaultPlaceholder_-1854013440"/>
          </w:placeholder>
        </w:sdtPr>
        <w:sdtContent>
          <w:r w:rsidR="00B00617" w:rsidRPr="00B00617">
            <w:rPr>
              <w:rFonts w:eastAsia="Times New Roman"/>
              <w:color w:val="000000"/>
            </w:rPr>
            <w:t>(Pravitasari &amp; Insukindro, 2023)</w:t>
          </w:r>
        </w:sdtContent>
      </w:sdt>
      <w:r w:rsidRPr="003B220A">
        <w:rPr>
          <w:rFonts w:eastAsia="Times New Roman"/>
        </w:rPr>
        <w:t>.</w:t>
      </w:r>
      <w:proofErr w:type="gramEnd"/>
      <w:r w:rsidRPr="003B220A">
        <w:rPr>
          <w:rFonts w:eastAsia="Times New Roman"/>
        </w:rPr>
        <w:t xml:space="preserve"> Literatur terbaru menunjukkan dinamika </w:t>
      </w:r>
      <w:r w:rsidRPr="007E0ED2">
        <w:rPr>
          <w:rFonts w:eastAsia="Times New Roman"/>
          <w:i/>
          <w:iCs/>
        </w:rPr>
        <w:t>trade</w:t>
      </w:r>
      <w:r w:rsidR="007E0ED2" w:rsidRPr="007E0ED2">
        <w:rPr>
          <w:rFonts w:eastAsia="Times New Roman"/>
          <w:i/>
          <w:iCs/>
        </w:rPr>
        <w:t xml:space="preserve"> </w:t>
      </w:r>
      <w:r w:rsidRPr="007E0ED2">
        <w:rPr>
          <w:rFonts w:eastAsia="Times New Roman"/>
          <w:i/>
          <w:iCs/>
        </w:rPr>
        <w:t>off</w:t>
      </w:r>
      <w:r w:rsidRPr="003B220A">
        <w:rPr>
          <w:rFonts w:eastAsia="Times New Roman"/>
        </w:rPr>
        <w:t xml:space="preserve"> inflasi–pengangguran berubah pascapandemi, termasuk melalui perubahan tingkat pengangguran alamiah dan kemiringan Phillips curve </w:t>
      </w:r>
      <w:sdt>
        <w:sdtPr>
          <w:rPr>
            <w:rFonts w:eastAsia="Times New Roman"/>
            <w:color w:val="000000"/>
          </w:rPr>
          <w:tag w:val="MENDELEY_CITATION_v3_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"/>
          <w:id w:val="1599985742"/>
          <w:placeholder>
            <w:docPart w:val="DefaultPlaceholder_-1854013440"/>
          </w:placeholder>
        </w:sdtPr>
        <w:sdtContent>
          <w:r w:rsidR="00B00617" w:rsidRPr="00B00617">
            <w:rPr>
              <w:rFonts w:eastAsia="Times New Roman"/>
              <w:color w:val="000000"/>
            </w:rPr>
            <w:t>(Aizenman et al., 2024)</w:t>
          </w:r>
        </w:sdtContent>
      </w:sdt>
      <w:r w:rsidRPr="003B220A">
        <w:rPr>
          <w:rFonts w:eastAsia="Times New Roman"/>
        </w:rPr>
        <w:t xml:space="preserve">. </w:t>
      </w:r>
      <w:proofErr w:type="gramStart"/>
      <w:r w:rsidRPr="003B220A">
        <w:rPr>
          <w:rFonts w:eastAsia="Times New Roman"/>
        </w:rPr>
        <w:t xml:space="preserve">Kajian regional juga menemukan bahwa peran faktor pasokan menguat pada 2021–2022 sebelum faktor permintaan kembali dominan seiring pembukaan ekonomi </w:t>
      </w:r>
      <w:sdt>
        <w:sdtPr>
          <w:rPr>
            <w:rFonts w:eastAsia="Times New Roman"/>
            <w:color w:val="000000"/>
          </w:rPr>
          <w:tag w:val="MENDELEY_CITATION_v3_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"/>
          <w:id w:val="1791246872"/>
          <w:placeholder>
            <w:docPart w:val="DefaultPlaceholder_-1854013440"/>
          </w:placeholder>
        </w:sdtPr>
        <w:sdtContent>
          <w:r w:rsidR="00B00617" w:rsidRPr="00B00617">
            <w:rPr>
              <w:rFonts w:eastAsia="Times New Roman"/>
              <w:color w:val="000000"/>
            </w:rPr>
            <w:t>(ASEAN+3, 2025)</w:t>
          </w:r>
        </w:sdtContent>
      </w:sdt>
      <w:r w:rsidRPr="003B220A">
        <w:rPr>
          <w:rFonts w:eastAsia="Times New Roman"/>
        </w:rPr>
        <w:t>.</w:t>
      </w:r>
      <w:proofErr w:type="gramEnd"/>
    </w:p>
    <w:p w14:paraId="384262C4" w14:textId="4F01E45B" w:rsidR="007E0ED2" w:rsidRDefault="007B09D7" w:rsidP="00665287">
      <w:pPr>
        <w:spacing w:after="0" w:line="240" w:lineRule="auto"/>
        <w:jc w:val="both"/>
      </w:pPr>
      <w:proofErr w:type="gramStart"/>
      <w:r w:rsidRPr="003B220A">
        <w:rPr>
          <w:rFonts w:eastAsia="Times New Roman"/>
        </w:rPr>
        <w:t xml:space="preserve">Pada sisi empiris, studi 5 tahun terakhir semakin banyak menilai koordinasi moneter–fiskal menggunakan pendekatan VAR/VECM/SVAR untuk menangkap dinamika jangka pendek, </w:t>
      </w:r>
      <w:r w:rsidR="007E0ED2">
        <w:rPr>
          <w:rFonts w:eastAsia="Times New Roman"/>
        </w:rPr>
        <w:t>“</w:t>
      </w:r>
      <w:r w:rsidRPr="007E0ED2">
        <w:rPr>
          <w:rFonts w:eastAsia="Times New Roman"/>
          <w:i/>
          <w:iCs/>
        </w:rPr>
        <w:t>impulse response</w:t>
      </w:r>
      <w:r w:rsidR="007E0ED2">
        <w:rPr>
          <w:rFonts w:eastAsia="Times New Roman"/>
        </w:rPr>
        <w:t>”</w:t>
      </w:r>
      <w:r w:rsidRPr="003B220A">
        <w:rPr>
          <w:rFonts w:eastAsia="Times New Roman"/>
        </w:rPr>
        <w:t>, dan dekomposisi varians.</w:t>
      </w:r>
      <w:proofErr w:type="gramEnd"/>
      <w:r w:rsidRPr="003B220A">
        <w:rPr>
          <w:rFonts w:eastAsia="Times New Roman"/>
        </w:rPr>
        <w:t xml:space="preserve"> </w:t>
      </w:r>
      <w:proofErr w:type="gramStart"/>
      <w:r w:rsidRPr="003B220A">
        <w:rPr>
          <w:rFonts w:eastAsia="Times New Roman"/>
        </w:rPr>
        <w:t xml:space="preserve">Untuk Indonesia, </w:t>
      </w:r>
      <w:sdt>
        <w:sdtPr>
          <w:rPr>
            <w:rFonts w:eastAsia="Times New Roman"/>
            <w:color w:val="000000"/>
          </w:rPr>
          <w:tag w:val="MENDELEY_CITATION_v3_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"/>
          <w:id w:val="-946617063"/>
          <w:placeholder>
            <w:docPart w:val="DefaultPlaceholder_-1854013440"/>
          </w:placeholder>
        </w:sdtPr>
        <w:sdtContent>
          <w:r w:rsidR="00B00617" w:rsidRPr="00B00617">
            <w:rPr>
              <w:rFonts w:eastAsia="Times New Roman"/>
              <w:color w:val="000000"/>
            </w:rPr>
            <w:t>(Checo et al., 2024)</w:t>
          </w:r>
        </w:sdtContent>
      </w:sdt>
      <w:r w:rsidRPr="003B220A">
        <w:rPr>
          <w:rFonts w:eastAsia="Times New Roman"/>
        </w:rPr>
        <w:t xml:space="preserve"> menunjukkan bahwa variabel fiskal dan moneter berasosiasi signifikan dengan inflasi menggunakan VECM berbasis data tahunan, serta menekankan pentingnya kehati‑hatian pengelolaan belanja dan uang beredar.</w:t>
      </w:r>
      <w:proofErr w:type="gramEnd"/>
      <w:r w:rsidRPr="003B220A">
        <w:rPr>
          <w:rFonts w:eastAsia="Times New Roman"/>
        </w:rPr>
        <w:t xml:space="preserve"> </w:t>
      </w:r>
      <w:sdt>
        <w:sdtPr>
          <w:rPr>
            <w:rFonts w:eastAsia="Times New Roman"/>
            <w:color w:val="000000"/>
          </w:rPr>
          <w:tag w:val="MENDELEY_CITATION_v3_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"/>
          <w:id w:val="1361090310"/>
          <w:placeholder>
            <w:docPart w:val="DefaultPlaceholder_-1854013440"/>
          </w:placeholder>
        </w:sdtPr>
        <w:sdtContent>
          <w:proofErr w:type="gramStart"/>
          <w:r w:rsidR="00B00617" w:rsidRPr="00B00617">
            <w:rPr>
              <w:rFonts w:eastAsia="Times New Roman"/>
              <w:color w:val="000000"/>
            </w:rPr>
            <w:t>(Gargiulo et al., 2025)</w:t>
          </w:r>
        </w:sdtContent>
      </w:sdt>
      <w:r w:rsidRPr="003B220A">
        <w:rPr>
          <w:rFonts w:eastAsia="Times New Roman"/>
        </w:rPr>
        <w:t xml:space="preserve"> juga menggunakan VAR/VECM dan menemukan adanya respons berbeda pada inflasi, pertumbuhan, dan pengangguran terhadap guncangan suku bunga dan belanja pemerintah.</w:t>
      </w:r>
      <w:proofErr w:type="gramEnd"/>
      <w:r w:rsidRPr="003B220A">
        <w:rPr>
          <w:rFonts w:eastAsia="Times New Roman"/>
        </w:rPr>
        <w:t xml:space="preserve"> </w:t>
      </w:r>
      <w:proofErr w:type="gramStart"/>
      <w:r w:rsidRPr="003B220A">
        <w:rPr>
          <w:rFonts w:eastAsia="Times New Roman"/>
        </w:rPr>
        <w:t xml:space="preserve">Dari sisi fiskal, </w:t>
      </w:r>
      <w:sdt>
        <w:sdtPr>
          <w:rPr>
            <w:rFonts w:eastAsia="Times New Roman"/>
            <w:color w:val="000000"/>
          </w:rPr>
          <w:tag w:val="MENDELEY_CITATION_v3_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"/>
          <w:id w:val="-545145892"/>
          <w:placeholder>
            <w:docPart w:val="DefaultPlaceholder_-1854013440"/>
          </w:placeholder>
        </w:sdtPr>
        <w:sdtContent>
          <w:r w:rsidR="00B00617" w:rsidRPr="00B00617">
            <w:rPr>
              <w:rFonts w:eastAsia="Times New Roman"/>
              <w:color w:val="000000"/>
            </w:rPr>
            <w:t>(Aizenman et al., 2024)</w:t>
          </w:r>
        </w:sdtContent>
      </w:sdt>
      <w:r w:rsidRPr="003B220A">
        <w:rPr>
          <w:rFonts w:eastAsia="Times New Roman"/>
        </w:rPr>
        <w:t xml:space="preserve"> menggunakan SVAR non‑rekursif dan menunjukkan bahwa respons inflasi dapat berbeda menurut komposisi belanja (misalnya subsidi vs konsumsi pemerintah), sehingga struktur belanja penting dalam koordinasi kebijakan.</w:t>
      </w:r>
      <w:proofErr w:type="gramEnd"/>
      <w:r w:rsidRPr="003B220A">
        <w:rPr>
          <w:rFonts w:eastAsia="Times New Roman"/>
        </w:rPr>
        <w:t xml:space="preserve"> </w:t>
      </w:r>
      <w:proofErr w:type="gramStart"/>
      <w:r w:rsidRPr="003B220A">
        <w:rPr>
          <w:rFonts w:eastAsia="Times New Roman"/>
        </w:rPr>
        <w:t xml:space="preserve">Temuan terkait interaksi moneter‑fiskal di Indonesia juga ditunjukkan oleh </w:t>
      </w:r>
      <w:sdt>
        <w:sdtPr>
          <w:rPr>
            <w:rFonts w:eastAsia="Times New Roman"/>
            <w:color w:val="000000"/>
          </w:rPr>
          <w:tag w:val="MENDELEY_CITATION_v3_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"/>
          <w:id w:val="-1189366215"/>
          <w:placeholder>
            <w:docPart w:val="DefaultPlaceholder_-1854013440"/>
          </w:placeholder>
        </w:sdtPr>
        <w:sdtContent>
          <w:r w:rsidR="00B00617" w:rsidRPr="00B00617">
            <w:rPr>
              <w:rFonts w:eastAsia="Times New Roman"/>
              <w:color w:val="000000"/>
            </w:rPr>
            <w:t>(Milton Friedman et al., 1968)</w:t>
          </w:r>
        </w:sdtContent>
      </w:sdt>
      <w:r w:rsidRPr="003B220A">
        <w:rPr>
          <w:rFonts w:eastAsia="Times New Roman"/>
        </w:rPr>
        <w:t xml:space="preserve"> dengan pendekatan VAR, yang menegaskan bahwa pola interaksi bisa bersifat campuran (komplementer maupun substitutif) tergantung periode dan indikator output.</w:t>
      </w:r>
      <w:proofErr w:type="gramEnd"/>
    </w:p>
    <w:p w14:paraId="77F28EC8" w14:textId="7F47F28E" w:rsidR="00467331" w:rsidRDefault="007B09D7" w:rsidP="00665287">
      <w:pPr>
        <w:spacing w:after="0" w:line="240" w:lineRule="auto"/>
        <w:jc w:val="both"/>
      </w:pPr>
      <w:r w:rsidRPr="003B220A">
        <w:rPr>
          <w:rFonts w:eastAsia="Times New Roman"/>
        </w:rPr>
        <w:t xml:space="preserve">Studi </w:t>
      </w:r>
      <w:proofErr w:type="gramStart"/>
      <w:r w:rsidRPr="003B220A">
        <w:rPr>
          <w:rFonts w:eastAsia="Times New Roman"/>
        </w:rPr>
        <w:t>lain</w:t>
      </w:r>
      <w:proofErr w:type="gramEnd"/>
      <w:r w:rsidRPr="003B220A">
        <w:rPr>
          <w:rFonts w:eastAsia="Times New Roman"/>
        </w:rPr>
        <w:t xml:space="preserve"> yang relevan untuk konteks Indonesia menyoroti efektivitas kebijakan campuran melalui perluasan spesifikasi VAR, termasuk pengaruh suku bunga kebijakan, uang beredar, penerimaan pajak, dan belanja pemerintah terhadap pengangguran (misalnya studi VAR tahunan terindeks Garuda yang memakai TPT, BI Rate/SBI, M2, TAX, dan GOV). Selain itu, bukti terbaru menunjukkan bahwa non‑linearitas/ambang kebijakan juga penting: </w:t>
      </w:r>
      <w:sdt>
        <w:sdtPr>
          <w:rPr>
            <w:rFonts w:eastAsia="Times New Roman"/>
            <w:color w:val="000000"/>
          </w:rPr>
          <w:tag w:val="MENDELEY_CITATION_v3_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"/>
          <w:id w:val="1259948005"/>
          <w:placeholder>
            <w:docPart w:val="DefaultPlaceholder_-1854013440"/>
          </w:placeholder>
        </w:sdtPr>
        <w:sdtContent>
          <w:r w:rsidR="00B00617" w:rsidRPr="00B00617">
            <w:rPr>
              <w:rFonts w:eastAsia="Times New Roman"/>
              <w:color w:val="000000"/>
            </w:rPr>
            <w:t>(IMF, 2024a)</w:t>
          </w:r>
        </w:sdtContent>
      </w:sdt>
      <w:r w:rsidRPr="003B220A">
        <w:rPr>
          <w:rFonts w:eastAsia="Times New Roman"/>
        </w:rPr>
        <w:t xml:space="preserve"> menggunakan Threshold VAR untuk melihat bagaimana respons inflasi berubah ketika suku bunga atau indikator fiskal melampaui ambang tertentu</w:t>
      </w:r>
      <w:r w:rsidR="00467331">
        <w:rPr>
          <w:rFonts w:eastAsia="Times New Roman"/>
        </w:rPr>
        <w:t xml:space="preserve"> </w:t>
      </w:r>
      <w:sdt>
        <w:sdtPr>
          <w:rPr>
            <w:rFonts w:eastAsia="Times New Roman"/>
            <w:color w:val="000000"/>
          </w:rPr>
          <w:tag w:val="MENDELEY_CITATION_v3_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"/>
          <w:id w:val="-1513984414"/>
          <w:placeholder>
            <w:docPart w:val="DefaultPlaceholder_-1854013440"/>
          </w:placeholder>
        </w:sdtPr>
        <w:sdtContent>
          <w:r w:rsidR="00B00617" w:rsidRPr="00B00617">
            <w:rPr>
              <w:rFonts w:eastAsia="Times New Roman"/>
              <w:color w:val="000000"/>
            </w:rPr>
            <w:t>(Bolhuis et al., 2024)</w:t>
          </w:r>
        </w:sdtContent>
      </w:sdt>
      <w:r w:rsidRPr="003B220A">
        <w:rPr>
          <w:rFonts w:eastAsia="Times New Roman"/>
        </w:rPr>
        <w:t xml:space="preserve">. </w:t>
      </w:r>
      <w:proofErr w:type="gramStart"/>
      <w:r w:rsidRPr="003B220A">
        <w:rPr>
          <w:rFonts w:eastAsia="Times New Roman"/>
        </w:rPr>
        <w:t xml:space="preserve">Dari sisi transmisi moneter, studi kuartalan juga menilai efektivitas kanal suku bunga dan nilai tukar terhadap inflasi di Indonesia pada periode 2015Q1–2022Q4 </w:t>
      </w:r>
      <w:sdt>
        <w:sdtPr>
          <w:rPr>
            <w:rFonts w:eastAsia="Times New Roman"/>
            <w:color w:val="000000"/>
          </w:rPr>
          <w:tag w:val="MENDELEY_CITATION_v3_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"/>
          <w:id w:val="-458879234"/>
          <w:placeholder>
            <w:docPart w:val="DefaultPlaceholder_-1854013440"/>
          </w:placeholder>
        </w:sdtPr>
        <w:sdtContent>
          <w:r w:rsidR="00B00617" w:rsidRPr="00B00617">
            <w:rPr>
              <w:rFonts w:eastAsia="Times New Roman"/>
              <w:color w:val="000000"/>
            </w:rPr>
            <w:t>(Crump et al., 2024)</w:t>
          </w:r>
        </w:sdtContent>
      </w:sdt>
      <w:r w:rsidRPr="003B220A">
        <w:rPr>
          <w:rFonts w:eastAsia="Times New Roman"/>
        </w:rPr>
        <w:t>.</w:t>
      </w:r>
      <w:proofErr w:type="gramEnd"/>
      <w:r w:rsidR="005B6827">
        <w:t xml:space="preserve"> </w:t>
      </w:r>
      <w:proofErr w:type="gramStart"/>
      <w:r w:rsidRPr="003B220A">
        <w:rPr>
          <w:rFonts w:eastAsia="Times New Roman"/>
        </w:rPr>
        <w:t>Dalam ekonomi yang semakin terbuka, interaksi moneter–fiskal juga dipengaruhi kondisi global dan kanal eksternal (nilai tukar, arus modal, dan pengetatan global)</w:t>
      </w:r>
      <w:r w:rsidR="00467331">
        <w:rPr>
          <w:rFonts w:eastAsia="Times New Roman"/>
        </w:rPr>
        <w:t xml:space="preserve"> </w:t>
      </w:r>
      <w:sdt>
        <w:sdtPr>
          <w:rPr>
            <w:rFonts w:eastAsia="Times New Roman"/>
            <w:color w:val="000000"/>
          </w:rPr>
          <w:tag w:val="MENDELEY_CITATION_v3_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"/>
          <w:id w:val="-2053381040"/>
          <w:placeholder>
            <w:docPart w:val="DefaultPlaceholder_-1854013440"/>
          </w:placeholder>
        </w:sdtPr>
        <w:sdtContent>
          <w:r w:rsidR="00B00617" w:rsidRPr="00B00617">
            <w:rPr>
              <w:rFonts w:eastAsia="Times New Roman"/>
              <w:color w:val="000000"/>
            </w:rPr>
            <w:t>(Phillips, 1958)</w:t>
          </w:r>
        </w:sdtContent>
      </w:sdt>
      <w:r w:rsidRPr="003B220A">
        <w:rPr>
          <w:rFonts w:eastAsia="Times New Roman"/>
        </w:rPr>
        <w:t>.</w:t>
      </w:r>
      <w:proofErr w:type="gramEnd"/>
      <w:r w:rsidRPr="003B220A">
        <w:rPr>
          <w:rFonts w:eastAsia="Times New Roman"/>
        </w:rPr>
        <w:t xml:space="preserve"> </w:t>
      </w:r>
      <w:proofErr w:type="gramStart"/>
      <w:r w:rsidRPr="003B220A">
        <w:rPr>
          <w:rFonts w:eastAsia="Times New Roman"/>
        </w:rPr>
        <w:t xml:space="preserve">Penelitian mengenai aksi kebijakan selama pandemi di beberapa ekonomi ASEAN (termasuk Indonesia) menemukan bahwa tindakan kebijakan otoritas berkontribusi pada dinamika inflasi inti dengan heterogenitas antarnegara </w:t>
      </w:r>
      <w:sdt>
        <w:sdtPr>
          <w:rPr>
            <w:rFonts w:eastAsia="Times New Roman"/>
            <w:color w:val="000000"/>
          </w:rPr>
          <w:tag w:val="MENDELEY_CITATION_v3_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"/>
          <w:id w:val="764350120"/>
          <w:placeholder>
            <w:docPart w:val="DefaultPlaceholder_-1854013440"/>
          </w:placeholder>
        </w:sdtPr>
        <w:sdtContent>
          <w:r w:rsidR="00B00617" w:rsidRPr="00B00617">
            <w:rPr>
              <w:rFonts w:eastAsia="Times New Roman"/>
              <w:color w:val="000000"/>
            </w:rPr>
            <w:t>(Rant et al., 2024)</w:t>
          </w:r>
        </w:sdtContent>
      </w:sdt>
      <w:r w:rsidRPr="003B220A">
        <w:rPr>
          <w:rFonts w:eastAsia="Times New Roman"/>
        </w:rPr>
        <w:t>.</w:t>
      </w:r>
      <w:proofErr w:type="gramEnd"/>
      <w:r w:rsidRPr="003B220A">
        <w:rPr>
          <w:rFonts w:eastAsia="Times New Roman"/>
        </w:rPr>
        <w:t xml:space="preserve"> Di sisi keterkaitan eksternal, studi BIS menunjukkan pengetatan kebijakan moneter Amerika Serikat menimbulkan efek rambatan yang terukur ke ekonomi negara berkembang melalui kanal keuangan dan nilai tukar, sehingga memperkuat alasan memasukkan kurs dalam model makro domestik </w:t>
      </w:r>
      <w:sdt>
        <w:sdtPr>
          <w:rPr>
            <w:rFonts w:eastAsia="Times New Roman"/>
            <w:color w:val="000000"/>
          </w:rPr>
          <w:tag w:val="MENDELEY_CITATION_v3_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"/>
          <w:id w:val="668982443"/>
          <w:placeholder>
            <w:docPart w:val="DefaultPlaceholder_-1854013440"/>
          </w:placeholder>
        </w:sdtPr>
        <w:sdtContent>
          <w:r w:rsidR="00B00617" w:rsidRPr="00B00617">
            <w:rPr>
              <w:rFonts w:eastAsia="Times New Roman"/>
              <w:color w:val="000000"/>
            </w:rPr>
            <w:t>(Rizvi et al., 2024)</w:t>
          </w:r>
        </w:sdtContent>
      </w:sdt>
      <w:r w:rsidRPr="003B220A">
        <w:rPr>
          <w:rFonts w:eastAsia="Times New Roman"/>
        </w:rPr>
        <w:t>.</w:t>
      </w:r>
    </w:p>
    <w:p w14:paraId="545DC678" w14:textId="5E305A1F" w:rsidR="00467331" w:rsidRDefault="007B09D7" w:rsidP="00665287">
      <w:pPr>
        <w:spacing w:after="0" w:line="240" w:lineRule="auto"/>
        <w:jc w:val="both"/>
      </w:pPr>
      <w:proofErr w:type="gramStart"/>
      <w:r w:rsidRPr="003B220A">
        <w:rPr>
          <w:rFonts w:eastAsia="Times New Roman"/>
        </w:rPr>
        <w:t>Walaupun penelitian tentang inflasi atau pertumbuhan di Indonesia relatif melimpah, masih terdapat ruang pengembangan pada tiga aspek.</w:t>
      </w:r>
      <w:proofErr w:type="gramEnd"/>
      <w:r w:rsidRPr="003B220A">
        <w:rPr>
          <w:rFonts w:eastAsia="Times New Roman"/>
        </w:rPr>
        <w:t xml:space="preserve"> Pertama, penelitian yang secara simultan memodelkan inflasi dan pengangguran sebagai variabel endogen bersama variabel bauran moneter–fiskal dengan rentang waktu panjang (mencakup krisis global 2008, </w:t>
      </w:r>
      <w:r w:rsidR="00467331">
        <w:rPr>
          <w:rFonts w:eastAsia="Times New Roman"/>
        </w:rPr>
        <w:t>“</w:t>
      </w:r>
      <w:r w:rsidRPr="00467331">
        <w:rPr>
          <w:rFonts w:eastAsia="Times New Roman"/>
          <w:i/>
          <w:iCs/>
        </w:rPr>
        <w:t>taper tantrum</w:t>
      </w:r>
      <w:r w:rsidR="00467331">
        <w:rPr>
          <w:rFonts w:eastAsia="Times New Roman"/>
        </w:rPr>
        <w:t>”</w:t>
      </w:r>
      <w:r w:rsidRPr="003B220A">
        <w:rPr>
          <w:rFonts w:eastAsia="Times New Roman"/>
        </w:rPr>
        <w:t xml:space="preserve"> 2013, pandemi 2020, serta episode lonjakan inflasi 2022) masih terbatas. </w:t>
      </w:r>
      <w:proofErr w:type="gramStart"/>
      <w:r w:rsidRPr="003B220A">
        <w:rPr>
          <w:rFonts w:eastAsia="Times New Roman"/>
        </w:rPr>
        <w:t xml:space="preserve">Kedua, sebagian studi menggunakan indikator fiskal yang belum memisahkan kanal penerimaan (pajak) dan pengeluaran secara eksplisit, padahal bukti SVAR menunjukkan komposisi belanja dapat menghasilkan respons inflasi yang berbeda </w:t>
      </w:r>
      <w:sdt>
        <w:sdtPr>
          <w:rPr>
            <w:rFonts w:eastAsia="Times New Roman"/>
            <w:color w:val="000000"/>
          </w:rPr>
          <w:tag w:val="MENDELEY_CITATION_v3_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"/>
          <w:id w:val="-11842628"/>
          <w:placeholder>
            <w:docPart w:val="DefaultPlaceholder_-1854013440"/>
          </w:placeholder>
        </w:sdtPr>
        <w:sdtContent>
          <w:r w:rsidR="00B00617" w:rsidRPr="00B00617">
            <w:rPr>
              <w:rFonts w:eastAsia="Times New Roman"/>
              <w:color w:val="000000"/>
            </w:rPr>
            <w:t>(Wilantari &amp; Afriani, 2021)</w:t>
          </w:r>
        </w:sdtContent>
      </w:sdt>
      <w:r w:rsidRPr="003B220A">
        <w:rPr>
          <w:rFonts w:eastAsia="Times New Roman"/>
        </w:rPr>
        <w:t>.</w:t>
      </w:r>
      <w:proofErr w:type="gramEnd"/>
      <w:r w:rsidRPr="003B220A">
        <w:rPr>
          <w:rFonts w:eastAsia="Times New Roman"/>
        </w:rPr>
        <w:t xml:space="preserve"> </w:t>
      </w:r>
      <w:proofErr w:type="gramStart"/>
      <w:r w:rsidRPr="003B220A">
        <w:rPr>
          <w:rFonts w:eastAsia="Times New Roman"/>
        </w:rPr>
        <w:t xml:space="preserve">Ketiga, keterkaitan kebijakan dengan sasaran pasar kerja sering kali dibahas secara </w:t>
      </w:r>
      <w:r w:rsidRPr="003B220A">
        <w:rPr>
          <w:rFonts w:eastAsia="Times New Roman"/>
        </w:rPr>
        <w:lastRenderedPageBreak/>
        <w:t xml:space="preserve">deskriptif, sementara bukti empiris menunjukkan bahwa perubahan rezim inflasi dapat mengubah kekuatan trade‑off inflasi–pengangguran </w:t>
      </w:r>
      <w:sdt>
        <w:sdtPr>
          <w:rPr>
            <w:rFonts w:eastAsia="Times New Roman"/>
            <w:color w:val="000000"/>
          </w:rPr>
          <w:tag w:val="MENDELEY_CITATION_v3_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"/>
          <w:id w:val="655724317"/>
          <w:placeholder>
            <w:docPart w:val="DefaultPlaceholder_-1854013440"/>
          </w:placeholder>
        </w:sdtPr>
        <w:sdtContent>
          <w:r w:rsidR="00B00617" w:rsidRPr="00B00617">
            <w:rPr>
              <w:rFonts w:eastAsia="Times New Roman"/>
              <w:color w:val="000000"/>
            </w:rPr>
            <w:t>(Banerjee et al., 2023)</w:t>
          </w:r>
        </w:sdtContent>
      </w:sdt>
      <w:r w:rsidRPr="003B220A">
        <w:rPr>
          <w:rFonts w:eastAsia="Times New Roman"/>
        </w:rPr>
        <w:t>.</w:t>
      </w:r>
      <w:proofErr w:type="gramEnd"/>
    </w:p>
    <w:p w14:paraId="59CD360A" w14:textId="70117FAE" w:rsidR="00305BBA" w:rsidRPr="00E43253" w:rsidRDefault="007B09D7" w:rsidP="00665287">
      <w:pPr>
        <w:spacing w:after="0" w:line="240" w:lineRule="auto"/>
        <w:jc w:val="both"/>
      </w:pPr>
      <w:proofErr w:type="gramStart"/>
      <w:r w:rsidRPr="003B220A">
        <w:rPr>
          <w:rFonts w:eastAsia="Times New Roman"/>
        </w:rPr>
        <w:t>Berangkat dari celah tersebut, penelitian ini menganalisis dinamika bauran kebijakan moneter dan fiskal terhadap inflasi dan pengangguran di Indonesia dengan pendekatan Vector Autoregression (VAR).</w:t>
      </w:r>
      <w:proofErr w:type="gramEnd"/>
      <w:r w:rsidRPr="003B220A">
        <w:rPr>
          <w:rFonts w:eastAsia="Times New Roman"/>
        </w:rPr>
        <w:t xml:space="preserve"> </w:t>
      </w:r>
      <w:proofErr w:type="gramStart"/>
      <w:r w:rsidRPr="003B220A">
        <w:rPr>
          <w:rFonts w:eastAsia="Times New Roman"/>
        </w:rPr>
        <w:t>Variabel kebijakan moneter diproksikan oleh suku bunga kebijakan (SBI/BI Rate/BI7DRR sesuai ketersediaan seri), sementara kebijakan fiskal diwakili oleh penerimaan pajak (TAX) dan pengeluaran pemerintah (GOV).</w:t>
      </w:r>
      <w:proofErr w:type="gramEnd"/>
      <w:r w:rsidRPr="003B220A">
        <w:rPr>
          <w:rFonts w:eastAsia="Times New Roman"/>
        </w:rPr>
        <w:t xml:space="preserve"> </w:t>
      </w:r>
      <w:proofErr w:type="gramStart"/>
      <w:r w:rsidRPr="003B220A">
        <w:rPr>
          <w:rFonts w:eastAsia="Times New Roman"/>
        </w:rPr>
        <w:t>Untuk menangkap karakter ekonomi terbuka dan jalur transmisi, model juga mempertimbangkan nilai tukar (kurs) dan kinerja aktivitas riil (pertumbuhan PDB)</w:t>
      </w:r>
      <w:r w:rsidR="00467331">
        <w:rPr>
          <w:rFonts w:eastAsia="Times New Roman"/>
        </w:rPr>
        <w:t xml:space="preserve"> </w:t>
      </w:r>
      <w:sdt>
        <w:sdtPr>
          <w:rPr>
            <w:rFonts w:eastAsia="Times New Roman"/>
            <w:color w:val="000000"/>
          </w:rPr>
          <w:tag w:val="MENDELEY_CITATION_v3_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"/>
          <w:id w:val="-812246534"/>
          <w:placeholder>
            <w:docPart w:val="DefaultPlaceholder_-1854013440"/>
          </w:placeholder>
        </w:sdtPr>
        <w:sdtContent>
          <w:r w:rsidR="00B00617" w:rsidRPr="00B00617">
            <w:rPr>
              <w:rFonts w:eastAsia="Times New Roman"/>
              <w:color w:val="000000"/>
            </w:rPr>
            <w:t>(Rizvi et al., 2024)</w:t>
          </w:r>
        </w:sdtContent>
      </w:sdt>
      <w:r w:rsidRPr="003B220A">
        <w:rPr>
          <w:rFonts w:eastAsia="Times New Roman"/>
        </w:rPr>
        <w:t>.</w:t>
      </w:r>
      <w:proofErr w:type="gramEnd"/>
      <w:r w:rsidRPr="003B220A">
        <w:rPr>
          <w:rFonts w:eastAsia="Times New Roman"/>
        </w:rPr>
        <w:t xml:space="preserve"> Penggunaan VAR memungkinkan pengujian dinamika jangka pendek, arah respons terhadap guncangan kebijakan (IRF), serta </w:t>
      </w:r>
      <w:r w:rsidRPr="00E43253">
        <w:rPr>
          <w:rFonts w:eastAsia="Times New Roman"/>
        </w:rPr>
        <w:t>kontribusi relatif masing‑masing instrumen melalui variance decomposition, sehingga dapat memberikan gambaran yang lebih komprehensif tentang kapan kebijakan moneter dan fiskal saling melengkapi atau saling meniadakan dalam meredam inflasi dan menurunkan pengangguran</w:t>
      </w:r>
      <w:r w:rsidR="00467331" w:rsidRPr="00E43253">
        <w:rPr>
          <w:rFonts w:eastAsia="Times New Roman"/>
        </w:rPr>
        <w:t xml:space="preserve"> </w:t>
      </w:r>
      <w:sdt>
        <w:sdtPr>
          <w:rPr>
            <w:rFonts w:eastAsia="Times New Roman"/>
            <w:color w:val="000000"/>
          </w:rPr>
          <w:tag w:val="MENDELEY_CITATION_v3_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"/>
          <w:id w:val="826632649"/>
          <w:placeholder>
            <w:docPart w:val="DefaultPlaceholder_-1854013440"/>
          </w:placeholder>
        </w:sdtPr>
        <w:sdtContent>
          <w:r w:rsidR="00B00617" w:rsidRPr="00B00617">
            <w:rPr>
              <w:rFonts w:eastAsia="Times New Roman"/>
              <w:color w:val="000000"/>
            </w:rPr>
            <w:t>(Rant et al., 2024)</w:t>
          </w:r>
        </w:sdtContent>
      </w:sdt>
      <w:r w:rsidRPr="00E43253">
        <w:rPr>
          <w:rFonts w:eastAsia="Times New Roman"/>
        </w:rPr>
        <w:t>.</w:t>
      </w:r>
    </w:p>
    <w:p w14:paraId="5F155CC8" w14:textId="5F7A2685" w:rsidR="00305BBA" w:rsidRDefault="00305BBA" w:rsidP="00665287">
      <w:pPr>
        <w:spacing w:after="0" w:line="240" w:lineRule="auto"/>
        <w:jc w:val="both"/>
        <w:rPr>
          <w:rFonts w:eastAsia="Times New Roman"/>
        </w:rPr>
      </w:pPr>
      <w:proofErr w:type="gramStart"/>
      <w:r w:rsidRPr="00E43253">
        <w:rPr>
          <w:rFonts w:eastAsia="Times New Roman"/>
        </w:rPr>
        <w:t>Penelitian ini berangkat dari kerangka stabilisasi makro modern yang menempatkan inflasi dan pengangguran sebagai dua sasaran utama kebijakan ekonomi.</w:t>
      </w:r>
      <w:proofErr w:type="gramEnd"/>
      <w:r w:rsidRPr="00E43253">
        <w:rPr>
          <w:rFonts w:eastAsia="Times New Roman"/>
        </w:rPr>
        <w:t xml:space="preserve"> Hubungan keduanya secara klasik dijelaskan melalui Phillips Curve </w:t>
      </w:r>
      <w:sdt>
        <w:sdtPr>
          <w:rPr>
            <w:rFonts w:eastAsia="Times New Roman"/>
            <w:color w:val="000000"/>
          </w:rPr>
          <w:tag w:val="MENDELEY_CITATION_v3_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"/>
          <w:id w:val="2019655980"/>
          <w:placeholder>
            <w:docPart w:val="DefaultPlaceholder_-1854013440"/>
          </w:placeholder>
        </w:sdtPr>
        <w:sdtContent>
          <w:r w:rsidR="00B00617" w:rsidRPr="00B00617">
            <w:rPr>
              <w:rFonts w:eastAsia="Times New Roman"/>
              <w:color w:val="000000"/>
            </w:rPr>
            <w:t>(Phillips, 1958)</w:t>
          </w:r>
        </w:sdtContent>
      </w:sdt>
      <w:r w:rsidRPr="00E43253">
        <w:rPr>
          <w:rFonts w:eastAsia="Times New Roman"/>
        </w:rPr>
        <w:t xml:space="preserve"> dan pengembangannya dalam kerangka New Keynesian, yang menekankan peran ekspektasi, rigiditas harga, serta respons kebijakan terhadap guncangan ekonomi </w:t>
      </w:r>
      <w:sdt>
        <w:sdtPr>
          <w:rPr>
            <w:rFonts w:eastAsia="Times New Roman"/>
            <w:color w:val="000000"/>
          </w:rPr>
          <w:tag w:val="MENDELEY_CITATION_v3_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"/>
          <w:id w:val="-1307624814"/>
          <w:placeholder>
            <w:docPart w:val="DefaultPlaceholder_-1854013440"/>
          </w:placeholder>
        </w:sdtPr>
        <w:sdtContent>
          <w:r w:rsidR="00B00617" w:rsidRPr="00B00617">
            <w:rPr>
              <w:rFonts w:eastAsia="Times New Roman"/>
              <w:color w:val="000000"/>
            </w:rPr>
            <w:t>(Milton Friedman et al., 1968)</w:t>
          </w:r>
        </w:sdtContent>
      </w:sdt>
      <w:r w:rsidRPr="00E43253">
        <w:rPr>
          <w:rFonts w:eastAsia="Times New Roman"/>
        </w:rPr>
        <w:t xml:space="preserve"> Dalam pendekatan ini, inflasi dan pengangguran tidak dapat dikelola secara parsial, melainkan memerlukan policy mix yang terkoordinasi antara kebijakan moneter dan fiskal untuk meminimalkan trade-off stabilisasi </w:t>
      </w:r>
      <w:sdt>
        <w:sdtPr>
          <w:rPr>
            <w:rFonts w:eastAsia="Times New Roman"/>
            <w:color w:val="000000"/>
          </w:rPr>
          <w:tag w:val="MENDELEY_CITATION_v3_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"/>
          <w:id w:val="2007862805"/>
          <w:placeholder>
            <w:docPart w:val="DefaultPlaceholder_-1854013440"/>
          </w:placeholder>
        </w:sdtPr>
        <w:sdtContent>
          <w:r w:rsidR="00B00617" w:rsidRPr="00B00617">
            <w:rPr>
              <w:rFonts w:eastAsia="Times New Roman"/>
              <w:color w:val="000000"/>
            </w:rPr>
            <w:t>(Clarida et al., 1999)</w:t>
          </w:r>
        </w:sdtContent>
      </w:sdt>
      <w:r w:rsidRPr="00E43253">
        <w:rPr>
          <w:rFonts w:eastAsia="Times New Roman"/>
        </w:rPr>
        <w:t xml:space="preserve">. Prinsip ini sejalan dengan teori economic policy assignment </w:t>
      </w:r>
      <w:sdt>
        <w:sdtPr>
          <w:rPr>
            <w:rFonts w:eastAsia="Times New Roman"/>
            <w:color w:val="000000"/>
          </w:rPr>
          <w:tag w:val="MENDELEY_CITATION_v3_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"/>
          <w:id w:val="-1521153771"/>
          <w:placeholder>
            <w:docPart w:val="DefaultPlaceholder_-1854013440"/>
          </w:placeholder>
        </w:sdtPr>
        <w:sdtContent>
          <w:r w:rsidR="00B00617" w:rsidRPr="00B00617">
            <w:rPr>
              <w:rFonts w:eastAsia="Times New Roman"/>
              <w:color w:val="000000"/>
            </w:rPr>
            <w:t>(Blomqvist, 1950)</w:t>
          </w:r>
        </w:sdtContent>
      </w:sdt>
      <w:r w:rsidRPr="00E43253">
        <w:rPr>
          <w:rFonts w:eastAsia="Times New Roman"/>
        </w:rPr>
        <w:t xml:space="preserve"> yang menegaskan bahwa pencapaian lebih dari satu target kebijakan memerlukan lebih dari satu instrumen yang bekerja secara sinergis.</w:t>
      </w:r>
      <w:r w:rsidR="005B6827" w:rsidRPr="00E43253">
        <w:rPr>
          <w:rFonts w:eastAsia="Times New Roman"/>
        </w:rPr>
        <w:t xml:space="preserve"> </w:t>
      </w:r>
      <w:proofErr w:type="gramStart"/>
      <w:r w:rsidR="0006485B" w:rsidRPr="00E43253">
        <w:rPr>
          <w:rFonts w:eastAsia="Times New Roman"/>
        </w:rPr>
        <w:t xml:space="preserve">Dari sisi fiskal, teori Keynesian menegaskan bahwa belanja pemerintah (GOV) dan pajak (TAX) memengaruhi stabilitas makro melalui jalur permintaan agregat, namun dengan besaran dan dinamika dampak yang tidak simetris </w:t>
      </w:r>
      <w:sdt>
        <w:sdtPr>
          <w:rPr>
            <w:rFonts w:eastAsia="Times New Roman"/>
            <w:color w:val="000000"/>
          </w:rPr>
          <w:tag w:val="MENDELEY_CITATION_v3_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"/>
          <w:id w:val="-148136671"/>
          <w:placeholder>
            <w:docPart w:val="DefaultPlaceholder_-1854013440"/>
          </w:placeholder>
        </w:sdtPr>
        <w:sdtContent>
          <w:r w:rsidR="00B00617" w:rsidRPr="00B00617">
            <w:rPr>
              <w:rFonts w:eastAsia="Times New Roman"/>
              <w:color w:val="000000"/>
            </w:rPr>
            <w:t>(Keynes, 1936)</w:t>
          </w:r>
        </w:sdtContent>
      </w:sdt>
      <w:r w:rsidR="0006485B" w:rsidRPr="00E43253">
        <w:rPr>
          <w:rFonts w:eastAsia="Times New Roman"/>
        </w:rPr>
        <w:t>.</w:t>
      </w:r>
      <w:proofErr w:type="gramEnd"/>
      <w:r w:rsidR="0006485B" w:rsidRPr="00E43253">
        <w:rPr>
          <w:rFonts w:eastAsia="Times New Roman"/>
        </w:rPr>
        <w:t xml:space="preserve"> Literatur empiris menunjukkan bahwa belanja pemerintah cenderung memiliki multiplier yang lebih besar dan lebih cepat terhadap output dan penyerapan tenaga kerja dibandingkan instrumen pajak, terutama pada periode krisis atau tekanan ekonomi </w:t>
      </w:r>
      <w:sdt>
        <w:sdtPr>
          <w:rPr>
            <w:rFonts w:eastAsia="Times New Roman"/>
            <w:color w:val="000000"/>
          </w:rPr>
          <w:tag w:val="MENDELEY_CITATION_v3_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"/>
          <w:id w:val="-517075991"/>
          <w:placeholder>
            <w:docPart w:val="DefaultPlaceholder_-1854013440"/>
          </w:placeholder>
        </w:sdtPr>
        <w:sdtContent>
          <w:r w:rsidR="00B00617" w:rsidRPr="00B00617">
            <w:rPr>
              <w:rFonts w:eastAsia="Times New Roman"/>
              <w:color w:val="000000"/>
            </w:rPr>
            <w:t>(Blanchard &amp; Perotti, 2002)</w:t>
          </w:r>
        </w:sdtContent>
      </w:sdt>
      <w:r w:rsidR="0006485B" w:rsidRPr="00E43253">
        <w:rPr>
          <w:rFonts w:eastAsia="Times New Roman"/>
        </w:rPr>
        <w:t xml:space="preserve">. </w:t>
      </w:r>
      <w:proofErr w:type="gramStart"/>
      <w:r w:rsidR="0006485B" w:rsidRPr="00E43253">
        <w:rPr>
          <w:rFonts w:eastAsia="Times New Roman"/>
        </w:rPr>
        <w:t>Oleh karena itu, memasukkan TAX dan GOV secara simultan dalam satu sistem dinamis memungkinkan identifikasi asimetri respons inflasi dan pengangguran terhadap kebijakan fiskal</w:t>
      </w:r>
      <w:r w:rsidR="000413BC" w:rsidRPr="00E43253">
        <w:rPr>
          <w:rFonts w:eastAsia="Times New Roman"/>
        </w:rPr>
        <w:t xml:space="preserve"> </w:t>
      </w:r>
      <w:sdt>
        <w:sdtPr>
          <w:rPr>
            <w:rFonts w:eastAsia="Times New Roman"/>
            <w:color w:val="000000"/>
          </w:rPr>
          <w:tag w:val="MENDELEY_CITATION_v3_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"/>
          <w:id w:val="1494837970"/>
          <w:placeholder>
            <w:docPart w:val="DefaultPlaceholder_-1854013440"/>
          </w:placeholder>
        </w:sdtPr>
        <w:sdtContent>
          <w:r w:rsidR="00B00617" w:rsidRPr="00B00617">
            <w:rPr>
              <w:rFonts w:eastAsia="Times New Roman"/>
              <w:color w:val="000000"/>
            </w:rPr>
            <w:t>(Auerbach &amp; Gorodnichenko, 2012)</w:t>
          </w:r>
        </w:sdtContent>
      </w:sdt>
      <w:r w:rsidR="0006485B" w:rsidRPr="00E43253">
        <w:rPr>
          <w:rFonts w:eastAsia="Times New Roman"/>
        </w:rPr>
        <w:t>.</w:t>
      </w:r>
      <w:proofErr w:type="gramEnd"/>
      <w:r w:rsidR="0006485B" w:rsidRPr="00E43253">
        <w:rPr>
          <w:rFonts w:eastAsia="Times New Roman"/>
        </w:rPr>
        <w:t xml:space="preserve"> Penggunaan data jangka panjang yang mencakup berbagai episode guncangan besar memperkuat relevansi analisis k</w:t>
      </w:r>
      <w:r w:rsidR="0006485B" w:rsidRPr="0006485B">
        <w:rPr>
          <w:rFonts w:eastAsia="Times New Roman"/>
        </w:rPr>
        <w:t xml:space="preserve">ebijakan bagi penguatan koordinasi stabilisasi makro Indonesia ke depan </w:t>
      </w:r>
      <w:sdt>
        <w:sdtPr>
          <w:rPr>
            <w:rFonts w:eastAsia="Times New Roman"/>
            <w:color w:val="000000"/>
          </w:rPr>
          <w:tag w:val="MENDELEY_CITATION_v3_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"/>
          <w:id w:val="-1526474484"/>
          <w:placeholder>
            <w:docPart w:val="DefaultPlaceholder_-1854013440"/>
          </w:placeholder>
        </w:sdtPr>
        <w:sdtContent>
          <w:r w:rsidR="00B00617" w:rsidRPr="00B00617">
            <w:rPr>
              <w:rFonts w:eastAsia="Times New Roman"/>
              <w:color w:val="000000"/>
            </w:rPr>
            <w:t>(Wilantari &amp; Afriani, 2021)</w:t>
          </w:r>
        </w:sdtContent>
      </w:sdt>
      <w:r w:rsidR="0006485B" w:rsidRPr="0006485B">
        <w:rPr>
          <w:rFonts w:eastAsia="Times New Roman"/>
        </w:rPr>
        <w:t>.</w:t>
      </w:r>
    </w:p>
    <w:p w14:paraId="667CD4F1" w14:textId="77777777" w:rsidR="00305BBA" w:rsidRDefault="00305BBA" w:rsidP="00305BBA">
      <w:pPr>
        <w:spacing w:after="0" w:line="240" w:lineRule="auto"/>
        <w:ind w:firstLine="360"/>
        <w:jc w:val="both"/>
      </w:pPr>
    </w:p>
    <w:p w14:paraId="57503BB1" w14:textId="77777777" w:rsidR="00467331" w:rsidRDefault="00022A16" w:rsidP="00467331">
      <w:pPr>
        <w:spacing w:after="0" w:line="240" w:lineRule="auto"/>
        <w:jc w:val="both"/>
        <w:rPr>
          <w:b/>
        </w:rPr>
      </w:pPr>
      <w:r>
        <w:rPr>
          <w:b/>
        </w:rPr>
        <w:t>METODE PENELITIAN</w:t>
      </w:r>
    </w:p>
    <w:p w14:paraId="57CCB1F3" w14:textId="77777777" w:rsidR="007D6E11" w:rsidRPr="007D6E11" w:rsidRDefault="00467331" w:rsidP="00665287">
      <w:pPr>
        <w:spacing w:after="0" w:line="240" w:lineRule="auto"/>
        <w:jc w:val="both"/>
        <w:rPr>
          <w:rFonts w:eastAsia="Times New Roman"/>
          <w:color w:val="202124"/>
        </w:rPr>
      </w:pPr>
      <w:proofErr w:type="gramStart"/>
      <w:r w:rsidRPr="00467331">
        <w:rPr>
          <w:rFonts w:eastAsia="Times New Roman"/>
          <w:color w:val="202124"/>
        </w:rPr>
        <w:t>Penelitian ini merupakan penelitian kuantitatif dengan pendekatan ekonometrika time series.</w:t>
      </w:r>
      <w:proofErr w:type="gramEnd"/>
      <w:r w:rsidRPr="00467331">
        <w:rPr>
          <w:rFonts w:eastAsia="Times New Roman"/>
          <w:color w:val="202124"/>
        </w:rPr>
        <w:t xml:space="preserve"> </w:t>
      </w:r>
      <w:proofErr w:type="gramStart"/>
      <w:r w:rsidRPr="00467331">
        <w:rPr>
          <w:rFonts w:eastAsia="Times New Roman"/>
          <w:color w:val="202124"/>
        </w:rPr>
        <w:t>Pendekatan kuantitatif digunakan untuk menganalisis hubungan dinamis antara kebijakan moneter dan kebijakan fiskal terhadap inflasi dan pengangguran di Indonesia.</w:t>
      </w:r>
      <w:proofErr w:type="gramEnd"/>
      <w:r w:rsidRPr="00467331">
        <w:rPr>
          <w:rFonts w:eastAsia="Times New Roman"/>
          <w:color w:val="202124"/>
        </w:rPr>
        <w:t xml:space="preserve"> </w:t>
      </w:r>
      <w:proofErr w:type="gramStart"/>
      <w:r w:rsidRPr="00467331">
        <w:rPr>
          <w:rFonts w:eastAsia="Times New Roman"/>
          <w:color w:val="202124"/>
        </w:rPr>
        <w:t>Metode analisis yang digunakan adalah Vector Autoregression (VAR), karena seluruh variabel dalam model diperlakukan sebagai variabel endogen dan saling memengaruhi secara simultan dalam jangka waktu tertentu.</w:t>
      </w:r>
      <w:proofErr w:type="gramEnd"/>
      <w:r>
        <w:rPr>
          <w:color w:val="202124"/>
        </w:rPr>
        <w:t xml:space="preserve"> </w:t>
      </w:r>
      <w:proofErr w:type="gramStart"/>
      <w:r w:rsidRPr="00467331">
        <w:rPr>
          <w:rFonts w:eastAsia="Times New Roman"/>
          <w:color w:val="202124"/>
        </w:rPr>
        <w:t>Pendekatan VAR dipilih karena mampu menangkap dinamika jangka pendek antarvariabel makroekonomi serta mengidentifikasi respons variabel akibat adanya guncangan (shock) kebijakan melalui analisis Impulse Response Function (IRF) dan Forecast Error Variance Decomposition (FEVD).</w:t>
      </w:r>
      <w:proofErr w:type="gramEnd"/>
    </w:p>
    <w:p w14:paraId="46257A5B" w14:textId="6BE70546" w:rsidR="00467331" w:rsidRPr="007D6E11" w:rsidRDefault="00467331" w:rsidP="00665287">
      <w:pPr>
        <w:spacing w:after="0" w:line="240" w:lineRule="auto"/>
        <w:jc w:val="both"/>
        <w:rPr>
          <w:b/>
        </w:rPr>
      </w:pPr>
      <w:r w:rsidRPr="007D6E11">
        <w:t xml:space="preserve">Analisis data dalam membangun konsep, model dan kebijakan menggunakan metode </w:t>
      </w:r>
      <w:proofErr w:type="gramStart"/>
      <w:r w:rsidRPr="007D6E11">
        <w:t>VAR :</w:t>
      </w:r>
      <w:proofErr w:type="gramEnd"/>
    </w:p>
    <w:p w14:paraId="5FAE03F4" w14:textId="18C24412" w:rsidR="00467331" w:rsidRPr="007D6E11" w:rsidRDefault="00E43253" w:rsidP="00467331">
      <w:pPr>
        <w:pStyle w:val="HTMLPreformatted"/>
        <w:jc w:val="both"/>
        <w:rPr>
          <w:rFonts w:ascii="Times New Roman" w:hAnsi="Times New Roman"/>
          <w:color w:val="202124"/>
          <w:sz w:val="22"/>
          <w:szCs w:val="22"/>
        </w:rPr>
      </w:pPr>
      <w:r>
        <w:rPr>
          <w:rFonts w:ascii="Times New Roman" w:hAnsi="Times New Roman"/>
          <w:noProof/>
          <w:color w:val="202124"/>
          <w:sz w:val="22"/>
          <w:szCs w:val="22"/>
        </w:rPr>
        <mc:AlternateContent>
          <mc:Choice Requires="wpg">
            <w:drawing>
              <wp:anchor distT="0" distB="0" distL="114300" distR="114300" simplePos="0" relativeHeight="251720704" behindDoc="0" locked="0" layoutInCell="1" allowOverlap="1" wp14:anchorId="1FFDE9D6" wp14:editId="747B4164">
                <wp:simplePos x="0" y="0"/>
                <wp:positionH relativeFrom="column">
                  <wp:posOffset>-4763</wp:posOffset>
                </wp:positionH>
                <wp:positionV relativeFrom="paragraph">
                  <wp:posOffset>107950</wp:posOffset>
                </wp:positionV>
                <wp:extent cx="3084513" cy="1925284"/>
                <wp:effectExtent l="0" t="0" r="20955" b="18415"/>
                <wp:wrapNone/>
                <wp:docPr id="718818935" name="Group 42"/>
                <wp:cNvGraphicFramePr/>
                <a:graphic xmlns:a="http://schemas.openxmlformats.org/drawingml/2006/main">
                  <a:graphicData uri="http://schemas.microsoft.com/office/word/2010/wordprocessingGroup">
                    <wpg:wgp>
                      <wpg:cNvGrpSpPr/>
                      <wpg:grpSpPr>
                        <a:xfrm>
                          <a:off x="0" y="0"/>
                          <a:ext cx="3084513" cy="1925284"/>
                          <a:chOff x="0" y="0"/>
                          <a:chExt cx="3486404" cy="2122812"/>
                        </a:xfrm>
                      </wpg:grpSpPr>
                      <wps:wsp>
                        <wps:cNvPr id="774851737" name="Straight Arrow Connector 29"/>
                        <wps:cNvCnPr/>
                        <wps:spPr>
                          <a:xfrm>
                            <a:off x="802538" y="769620"/>
                            <a:ext cx="931214" cy="1064362"/>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159303905" name="Straight Arrow Connector 34"/>
                        <wps:cNvCnPr/>
                        <wps:spPr>
                          <a:xfrm flipV="1">
                            <a:off x="1146352" y="802539"/>
                            <a:ext cx="1538986" cy="620599"/>
                          </a:xfrm>
                          <a:prstGeom prst="straightConnector1">
                            <a:avLst/>
                          </a:prstGeom>
                          <a:ln>
                            <a:headEnd type="triangle"/>
                            <a:tailEnd type="triangle"/>
                          </a:ln>
                        </wps:spPr>
                        <wps:style>
                          <a:lnRef idx="1">
                            <a:schemeClr val="accent6"/>
                          </a:lnRef>
                          <a:fillRef idx="0">
                            <a:schemeClr val="accent6"/>
                          </a:fillRef>
                          <a:effectRef idx="0">
                            <a:schemeClr val="accent6"/>
                          </a:effectRef>
                          <a:fontRef idx="minor">
                            <a:schemeClr val="tx1"/>
                          </a:fontRef>
                        </wps:style>
                        <wps:bodyPr/>
                      </wps:wsp>
                      <wpg:grpSp>
                        <wpg:cNvPr id="133859831" name="Group 41"/>
                        <wpg:cNvGrpSpPr/>
                        <wpg:grpSpPr>
                          <a:xfrm>
                            <a:off x="0" y="0"/>
                            <a:ext cx="3486404" cy="2122812"/>
                            <a:chOff x="0" y="0"/>
                            <a:chExt cx="3486404" cy="2122812"/>
                          </a:xfrm>
                        </wpg:grpSpPr>
                        <wps:wsp>
                          <wps:cNvPr id="1369463843" name="Straight Arrow Connector 37"/>
                          <wps:cNvCnPr/>
                          <wps:spPr>
                            <a:xfrm flipV="1">
                              <a:off x="2744724" y="912267"/>
                              <a:ext cx="337845" cy="393496"/>
                            </a:xfrm>
                            <a:prstGeom prst="straightConnector1">
                              <a:avLst/>
                            </a:prstGeom>
                            <a:ln>
                              <a:headEnd type="triangle"/>
                              <a:tailEnd type="triangle"/>
                            </a:ln>
                          </wps:spPr>
                          <wps:style>
                            <a:lnRef idx="1">
                              <a:schemeClr val="accent5"/>
                            </a:lnRef>
                            <a:fillRef idx="0">
                              <a:schemeClr val="accent5"/>
                            </a:fillRef>
                            <a:effectRef idx="0">
                              <a:schemeClr val="accent5"/>
                            </a:effectRef>
                            <a:fontRef idx="minor">
                              <a:schemeClr val="tx1"/>
                            </a:fontRef>
                          </wps:style>
                          <wps:bodyPr/>
                        </wps:wsp>
                        <wpg:grpSp>
                          <wpg:cNvPr id="1207787932" name="Group 40"/>
                          <wpg:cNvGrpSpPr/>
                          <wpg:grpSpPr>
                            <a:xfrm>
                              <a:off x="0" y="0"/>
                              <a:ext cx="3486404" cy="2122812"/>
                              <a:chOff x="0" y="0"/>
                              <a:chExt cx="3486404" cy="2122812"/>
                            </a:xfrm>
                          </wpg:grpSpPr>
                          <wps:wsp>
                            <wps:cNvPr id="1023003507" name="Straight Arrow Connector 16"/>
                            <wps:cNvCnPr/>
                            <wps:spPr>
                              <a:xfrm>
                                <a:off x="1058570" y="131064"/>
                                <a:ext cx="1338326"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34775082" name="Straight Arrow Connector 22"/>
                            <wps:cNvCnPr/>
                            <wps:spPr>
                              <a:xfrm>
                                <a:off x="2814218" y="308763"/>
                                <a:ext cx="237744" cy="35354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cNvPr id="178772663" name="Group 39"/>
                            <wpg:cNvGrpSpPr/>
                            <wpg:grpSpPr>
                              <a:xfrm>
                                <a:off x="0" y="0"/>
                                <a:ext cx="3486404" cy="2122812"/>
                                <a:chOff x="0" y="0"/>
                                <a:chExt cx="3486404" cy="2122812"/>
                              </a:xfrm>
                            </wpg:grpSpPr>
                            <wps:wsp>
                              <wps:cNvPr id="1651532043" name="Text Box 8"/>
                              <wps:cNvSpPr txBox="1"/>
                              <wps:spPr>
                                <a:xfrm>
                                  <a:off x="256032" y="0"/>
                                  <a:ext cx="801726" cy="29035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4229645" w14:textId="6C68A419" w:rsidR="009F76FA" w:rsidRDefault="009F76FA" w:rsidP="00AD7757">
                                    <w:pPr>
                                      <w:spacing w:after="0" w:line="240" w:lineRule="auto"/>
                                      <w:jc w:val="center"/>
                                    </w:pPr>
                                    <w:r>
                                      <w:t>INF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501582" name="Text Box 8"/>
                              <wps:cNvSpPr txBox="1"/>
                              <wps:spPr>
                                <a:xfrm>
                                  <a:off x="2395728" y="18288"/>
                                  <a:ext cx="801726" cy="290354"/>
                                </a:xfrm>
                                <a:prstGeom prst="rect">
                                  <a:avLst/>
                                </a:prstGeom>
                                <a:ln/>
                              </wps:spPr>
                              <wps:style>
                                <a:lnRef idx="2">
                                  <a:schemeClr val="dk1"/>
                                </a:lnRef>
                                <a:fillRef idx="1">
                                  <a:schemeClr val="lt1"/>
                                </a:fillRef>
                                <a:effectRef idx="0">
                                  <a:schemeClr val="dk1"/>
                                </a:effectRef>
                                <a:fontRef idx="minor">
                                  <a:schemeClr val="dk1"/>
                                </a:fontRef>
                              </wps:style>
                              <wps:txbx>
                                <w:txbxContent>
                                  <w:p w14:paraId="7BC3BB92" w14:textId="2ABC8200" w:rsidR="009F76FA" w:rsidRDefault="009F76FA" w:rsidP="00AD7757">
                                    <w:pPr>
                                      <w:spacing w:after="0" w:line="240" w:lineRule="auto"/>
                                      <w:jc w:val="center"/>
                                    </w:pPr>
                                    <w:r>
                                      <w:t>UNEMP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3957382" name="Text Box 8"/>
                              <wps:cNvSpPr txBox="1"/>
                              <wps:spPr>
                                <a:xfrm>
                                  <a:off x="1327708" y="1832458"/>
                                  <a:ext cx="801726" cy="290354"/>
                                </a:xfrm>
                                <a:prstGeom prst="rect">
                                  <a:avLst/>
                                </a:prstGeom>
                                <a:ln/>
                              </wps:spPr>
                              <wps:style>
                                <a:lnRef idx="2">
                                  <a:schemeClr val="accent5"/>
                                </a:lnRef>
                                <a:fillRef idx="1">
                                  <a:schemeClr val="lt1"/>
                                </a:fillRef>
                                <a:effectRef idx="0">
                                  <a:schemeClr val="accent5"/>
                                </a:effectRef>
                                <a:fontRef idx="minor">
                                  <a:schemeClr val="dk1"/>
                                </a:fontRef>
                              </wps:style>
                              <wps:txbx>
                                <w:txbxContent>
                                  <w:p w14:paraId="7EA7C179" w14:textId="65377A89" w:rsidR="009F76FA" w:rsidRDefault="009F76FA" w:rsidP="00AD7757">
                                    <w:pPr>
                                      <w:spacing w:after="0" w:line="240" w:lineRule="auto"/>
                                      <w:jc w:val="center"/>
                                    </w:pPr>
                                    <w:r>
                                      <w:t>EXR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287478" name="Text Box 8"/>
                              <wps:cNvSpPr txBox="1"/>
                              <wps:spPr>
                                <a:xfrm>
                                  <a:off x="2684678" y="643738"/>
                                  <a:ext cx="801726" cy="290354"/>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DC7EDE6" w14:textId="7A7FC958" w:rsidR="009F76FA" w:rsidRDefault="009F76FA" w:rsidP="00AD7757">
                                    <w:pPr>
                                      <w:spacing w:after="0" w:line="240" w:lineRule="auto"/>
                                      <w:jc w:val="center"/>
                                    </w:pPr>
                                    <w:r>
                                      <w:t>BI 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8388857" name="Text Box 8"/>
                              <wps:cNvSpPr txBox="1"/>
                              <wps:spPr>
                                <a:xfrm>
                                  <a:off x="0" y="643738"/>
                                  <a:ext cx="801370" cy="29019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7CFEC69" w14:textId="6527870C" w:rsidR="009F76FA" w:rsidRDefault="009F76FA" w:rsidP="00AD7757">
                                    <w:pPr>
                                      <w:spacing w:after="0" w:line="240" w:lineRule="auto"/>
                                      <w:jc w:val="center"/>
                                    </w:pPr>
                                    <w:r>
                                      <w:t>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9983986" name="Text Box 8"/>
                              <wps:cNvSpPr txBox="1"/>
                              <wps:spPr>
                                <a:xfrm>
                                  <a:off x="343814" y="1272845"/>
                                  <a:ext cx="801726" cy="290354"/>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5A270FD" w14:textId="1A5F3A4D" w:rsidR="009F76FA" w:rsidRDefault="009F76FA" w:rsidP="00AD7757">
                                    <w:pPr>
                                      <w:spacing w:after="0" w:line="240" w:lineRule="auto"/>
                                      <w:jc w:val="center"/>
                                    </w:pPr>
                                    <w:r>
                                      <w:t>TAX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6407781" name="Text Box 8"/>
                              <wps:cNvSpPr txBox="1"/>
                              <wps:spPr>
                                <a:xfrm>
                                  <a:off x="2362809" y="1305763"/>
                                  <a:ext cx="801726" cy="290354"/>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6F164A85" w14:textId="5457AEA7" w:rsidR="009F76FA" w:rsidRDefault="009F76FA" w:rsidP="00AD7757">
                                    <w:pPr>
                                      <w:spacing w:after="0" w:line="240" w:lineRule="auto"/>
                                      <w:jc w:val="center"/>
                                    </w:pPr>
                                    <w:r>
                                      <w:t>GDP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458312" name="Straight Arrow Connector 17"/>
                              <wps:cNvCnPr/>
                              <wps:spPr>
                                <a:xfrm>
                                  <a:off x="1058570" y="155143"/>
                                  <a:ext cx="1626108" cy="64739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70160505" name="Straight Arrow Connector 18"/>
                              <wps:cNvCnPr/>
                              <wps:spPr>
                                <a:xfrm>
                                  <a:off x="1058570" y="129540"/>
                                  <a:ext cx="1304036" cy="135001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02653044" name="Straight Arrow Connector 19"/>
                              <wps:cNvCnPr/>
                              <wps:spPr>
                                <a:xfrm>
                                  <a:off x="1058570" y="177089"/>
                                  <a:ext cx="658012" cy="165689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16903084" name="Straight Arrow Connector 20"/>
                              <wps:cNvCnPr/>
                              <wps:spPr>
                                <a:xfrm flipH="1">
                                  <a:off x="447751" y="290475"/>
                                  <a:ext cx="197510" cy="35354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96244297" name="Straight Arrow Connector 21"/>
                              <wps:cNvCnPr/>
                              <wps:spPr>
                                <a:xfrm flipH="1">
                                  <a:off x="729386" y="199035"/>
                                  <a:ext cx="376732" cy="107533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62918490" name="Straight Arrow Connector 24"/>
                              <wps:cNvCnPr/>
                              <wps:spPr>
                                <a:xfrm flipH="1">
                                  <a:off x="1735226" y="129540"/>
                                  <a:ext cx="627583" cy="170263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965874022" name="Straight Arrow Connector 25"/>
                              <wps:cNvCnPr/>
                              <wps:spPr>
                                <a:xfrm>
                                  <a:off x="2364333" y="177089"/>
                                  <a:ext cx="381635" cy="112839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43860041" name="Straight Arrow Connector 26"/>
                              <wps:cNvCnPr/>
                              <wps:spPr>
                                <a:xfrm flipH="1">
                                  <a:off x="1146352" y="129540"/>
                                  <a:ext cx="1250544" cy="131734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66121683" name="Straight Arrow Connector 27"/>
                              <wps:cNvCnPr/>
                              <wps:spPr>
                                <a:xfrm flipH="1">
                                  <a:off x="802538" y="129540"/>
                                  <a:ext cx="1595653" cy="672668"/>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334408867" name="Straight Arrow Connector 28"/>
                              <wps:cNvCnPr/>
                              <wps:spPr>
                                <a:xfrm>
                                  <a:off x="418490" y="934212"/>
                                  <a:ext cx="313715" cy="351053"/>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870197608" name="Straight Arrow Connector 30"/>
                              <wps:cNvCnPr/>
                              <wps:spPr>
                                <a:xfrm>
                                  <a:off x="802538" y="769620"/>
                                  <a:ext cx="1561795" cy="709930"/>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1576079051" name="Straight Arrow Connector 31"/>
                              <wps:cNvCnPr/>
                              <wps:spPr>
                                <a:xfrm>
                                  <a:off x="827379" y="767487"/>
                                  <a:ext cx="1857553" cy="32588"/>
                                </a:xfrm>
                                <a:prstGeom prst="straightConnector1">
                                  <a:avLst/>
                                </a:prstGeom>
                                <a:ln>
                                  <a:headEnd type="triangle"/>
                                  <a:tailEnd type="triangle"/>
                                </a:ln>
                              </wps:spPr>
                              <wps:style>
                                <a:lnRef idx="1">
                                  <a:schemeClr val="accent2"/>
                                </a:lnRef>
                                <a:fillRef idx="0">
                                  <a:schemeClr val="accent2"/>
                                </a:fillRef>
                                <a:effectRef idx="0">
                                  <a:schemeClr val="accent2"/>
                                </a:effectRef>
                                <a:fontRef idx="minor">
                                  <a:schemeClr val="tx1"/>
                                </a:fontRef>
                              </wps:style>
                              <wps:bodyPr/>
                            </wps:wsp>
                            <wps:wsp>
                              <wps:cNvPr id="886875270" name="Straight Arrow Connector 32"/>
                              <wps:cNvCnPr/>
                              <wps:spPr>
                                <a:xfrm>
                                  <a:off x="769620" y="1563319"/>
                                  <a:ext cx="560222" cy="433883"/>
                                </a:xfrm>
                                <a:prstGeom prst="straightConnector1">
                                  <a:avLst/>
                                </a:prstGeom>
                                <a:ln>
                                  <a:headEnd type="triangle"/>
                                  <a:tailEnd type="triangle"/>
                                </a:ln>
                              </wps:spPr>
                              <wps:style>
                                <a:lnRef idx="1">
                                  <a:schemeClr val="accent6"/>
                                </a:lnRef>
                                <a:fillRef idx="0">
                                  <a:schemeClr val="accent6"/>
                                </a:fillRef>
                                <a:effectRef idx="0">
                                  <a:schemeClr val="accent6"/>
                                </a:effectRef>
                                <a:fontRef idx="minor">
                                  <a:schemeClr val="tx1"/>
                                </a:fontRef>
                              </wps:style>
                              <wps:bodyPr/>
                            </wps:wsp>
                            <wps:wsp>
                              <wps:cNvPr id="2088002345" name="Straight Arrow Connector 33"/>
                              <wps:cNvCnPr/>
                              <wps:spPr>
                                <a:xfrm>
                                  <a:off x="1145590" y="1447800"/>
                                  <a:ext cx="1249376" cy="33020"/>
                                </a:xfrm>
                                <a:prstGeom prst="straightConnector1">
                                  <a:avLst/>
                                </a:prstGeom>
                                <a:ln>
                                  <a:headEnd type="triangle"/>
                                  <a:tailEnd type="triangle"/>
                                </a:ln>
                              </wps:spPr>
                              <wps:style>
                                <a:lnRef idx="1">
                                  <a:schemeClr val="accent6"/>
                                </a:lnRef>
                                <a:fillRef idx="0">
                                  <a:schemeClr val="accent6"/>
                                </a:fillRef>
                                <a:effectRef idx="0">
                                  <a:schemeClr val="accent6"/>
                                </a:effectRef>
                                <a:fontRef idx="minor">
                                  <a:schemeClr val="tx1"/>
                                </a:fontRef>
                              </wps:style>
                              <wps:bodyPr/>
                            </wps:wsp>
                            <wps:wsp>
                              <wps:cNvPr id="914145953" name="Straight Arrow Connector 36"/>
                              <wps:cNvCnPr/>
                              <wps:spPr>
                                <a:xfrm flipV="1">
                                  <a:off x="2130247" y="1596238"/>
                                  <a:ext cx="616890" cy="401066"/>
                                </a:xfrm>
                                <a:prstGeom prst="straightConnector1">
                                  <a:avLst/>
                                </a:prstGeom>
                                <a:ln>
                                  <a:headEnd type="triangle"/>
                                  <a:tailEnd type="triangle"/>
                                </a:ln>
                              </wps:spPr>
                              <wps:style>
                                <a:lnRef idx="1">
                                  <a:schemeClr val="accent5"/>
                                </a:lnRef>
                                <a:fillRef idx="0">
                                  <a:schemeClr val="accent5"/>
                                </a:fillRef>
                                <a:effectRef idx="0">
                                  <a:schemeClr val="accent5"/>
                                </a:effectRef>
                                <a:fontRef idx="minor">
                                  <a:schemeClr val="tx1"/>
                                </a:fontRef>
                              </wps:style>
                              <wps:bodyPr/>
                            </wps:wsp>
                            <wps:wsp>
                              <wps:cNvPr id="198576556" name="Straight Arrow Connector 38"/>
                              <wps:cNvCnPr/>
                              <wps:spPr>
                                <a:xfrm flipV="1">
                                  <a:off x="1764487" y="820827"/>
                                  <a:ext cx="885139" cy="1009015"/>
                                </a:xfrm>
                                <a:prstGeom prst="straightConnector1">
                                  <a:avLst/>
                                </a:prstGeom>
                                <a:ln>
                                  <a:headEnd type="triangle"/>
                                  <a:tailEnd type="triangle"/>
                                </a:ln>
                              </wps:spPr>
                              <wps:style>
                                <a:lnRef idx="1">
                                  <a:schemeClr val="accent5"/>
                                </a:lnRef>
                                <a:fillRef idx="0">
                                  <a:schemeClr val="accent5"/>
                                </a:fillRef>
                                <a:effectRef idx="0">
                                  <a:schemeClr val="accent5"/>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id="Group 42" o:spid="_x0000_s1026" style="position:absolute;left:0;text-align:left;margin-left:-.4pt;margin-top:8.5pt;width:242.9pt;height:151.6pt;z-index:251720704;mso-width-relative:margin;mso-height-relative:margin" coordsize="34864,2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">
                <v:shapetype id="_x0000_t32" coordsize="21600,21600" o:spt="32" o:oned="t" path="m,l21600,21600e" filled="f">
                  <v:path arrowok="t" fillok="f" o:connecttype="none"/>
                  <o:lock v:ext="edit" shapetype="t"/>
                </v:shapetype>
                <v:shape id="Straight Arrow Connector 29" o:spid="_x0000_s1027" type="#_x0000_t32" style="position:absolute;left:8025;top:7696;width:9312;height:106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aDiF7ygAAAOIAAAAPAAAA&#10;AAAAAAAAAAAAAKECAABkcnMvZG93bnJldi54bWxQSwUGAAAAAAQABAD5AAAAmAMAAAAA&#10;" strokecolor="#bc4542 [3045]">
                  <v:stroke startarrow="block" endarrow="block"/>
                </v:shape>
                <v:shape id="Straight Arrow Connector 34" o:spid="_x0000_s1028" type="#_x0000_t32" style="position:absolute;left:11463;top:8025;width:15390;height:62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Zqt8cAAADiAAAADwAAAGRycy9kb3ducmV2LnhtbERPz2vCMBS+D/wfwhN2GZqoVLQziori&#10;jpt62e3RvLWdzUtpslr9681gsOPH93ux6mwlWmp86VjDaKhAEGfOlJxrOJ/2gxkIH5ANVo5Jw408&#10;rJa9pwWmxl35g9pjyEUMYZ+ihiKEOpXSZwVZ9ENXE0fuyzUWQ4RNLk2D1xhuKzlWaiotlhwbCqxp&#10;W1B2Of5YDfeuxXOWHEaby/vspd7uku/T+lPr5363fgURqAv/4j/3m4nzk/lETeYqgd9LEYNcP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Jmq3xwAAAOIAAAAPAAAAAAAA&#10;AAAAAAAAAKECAABkcnMvZG93bnJldi54bWxQSwUGAAAAAAQABAD5AAAAlQMAAAAA&#10;" strokecolor="#f68c36 [3049]">
                  <v:stroke startarrow="block" endarrow="block"/>
                </v:shape>
                <v:group id="Group 41" o:spid="_x0000_s1029" style="position:absolute;width:34864;height:21228" coordsize="34864,21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kAxm8cAAADi&#10;AAAADwAAAAAAAAAAAAAAAACqAgAAZHJzL2Rvd25yZXYueG1sUEsFBgAAAAAEAAQA+gAAAJ4DAAAA&#10;AA==&#10;">
                  <v:shape id="Straight Arrow Connector 37" o:spid="_x0000_s1030" type="#_x0000_t32" style="position:absolute;left:27447;top:9122;width:3378;height:39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FElMgAAADjAAAADwAAAGRycy9kb3ducmV2LnhtbERPX0vDMBB/F/Ydwg18c+nW0XV12RBR&#10;UGQPduLzrbk1Zc2lJHGr394Igo/3+3+b3Wh7cSEfOscK5rMMBHHjdMetgo/D810JIkRkjb1jUvBN&#10;AXbbyc0GK+2u/E6XOrYihXCoUIGJcaikDI0hi2HmBuLEnZy3GNPpW6k9XlO47eUiywppsePUYHCg&#10;R0PNuf6yCvj1cFwY68/1/i1+ZvvVsVw/rZS6nY4P9yAijfFf/Od+0Wl+XqyXRV4uc/j9KQEgt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ZFElMgAAADjAAAADwAAAAAA&#10;AAAAAAAAAAChAgAAZHJzL2Rvd25yZXYueG1sUEsFBgAAAAAEAAQA+QAAAJYDAAAAAA==&#10;" strokecolor="#40a7c2 [3048]">
                    <v:stroke startarrow="block" endarrow="block"/>
                  </v:shape>
                  <v:group id="Group 40" o:spid="_x0000_s1031" style="position:absolute;width:34864;height:21228" coordsize="34864,21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AENGRyQAA&#10;AOMAAAAPAAAAAAAAAAAAAAAAAKoCAABkcnMvZG93bnJldi54bWxQSwUGAAAAAAQABAD6AAAAoAMA&#10;AAAA&#10;">
                    <v:shape id="Straight Arrow Connector 16" o:spid="_x0000_s1032" type="#_x0000_t32" style="position:absolute;left:10585;top:1310;width:133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wjzcYAAADjAAAADwAAAGRycy9kb3ducmV2LnhtbERPX0vDMBB/F/wO4QTfXNIVp9ZlQ4Qy&#10;fRE2he3xaM6m2FxKEtf22xtB8PF+/2+9nVwvzhRi51lDsVAgiBtvOm41fLzXN/cgYkI22HsmDTNF&#10;2G4uL9ZYGT/yns6H1IocwrFCDTaloZIyNpYcxoUfiDP36YPDlM/QShNwzOGul0ulVtJhx7nB4kDP&#10;lpqvw7fTEHZjUb7Z1U4d54d4eq3rbqZC6+ur6ekRRKIp/Yv/3C8mz1fLUqnyVt3B708ZAL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8I83GAAAA4wAAAA8AAAAAAAAA&#10;AAAAAAAAoQIAAGRycy9kb3ducmV2LnhtbFBLBQYAAAAABAAEAPkAAACUAwAAAAA=&#10;" strokecolor="#4579b8 [3044]">
                      <v:stroke startarrow="block" endarrow="block"/>
                    </v:shape>
                    <v:shape id="Straight Arrow Connector 22" o:spid="_x0000_s1033" type="#_x0000_t32" style="position:absolute;left:28142;top:3087;width:2377;height:3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CCgskAAADjAAAADwAAAGRycy9kb3ducmV2LnhtbERPX0vDMBB/F/wO4QTfXGqdbqvLxpgb&#10;jAmyVcdej+Zsis2lJHGrfnojCD7e7/9N571txYl8aBwruB1kIIgrpxuuFby9rm/GIEJE1tg6JgVf&#10;FGA+u7yYYqHdmfd0KmMtUgiHAhWYGLtCylAZshgGriNO3LvzFmM6fS21x3MKt63Ms+xBWmw4NRjs&#10;aGmo+ig/rYLt5unwvXgZ7sxxUnKoln5Sr56Vur7qF48gIvXxX/zn3ug0P78bjkb32TiH358SAHL2&#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xggoLJAAAA4wAAAA8AAAAA&#10;AAAAAAAAAAAAoQIAAGRycy9kb3ducmV2LnhtbFBLBQYAAAAABAAEAPkAAACXAwAAAAA=&#10;" strokecolor="black [3040]">
                      <v:stroke startarrow="block" endarrow="block"/>
                    </v:shape>
                    <v:group id="Group 39" o:spid="_x0000_s1034" style="position:absolute;width:34864;height:21228" coordsize="34864,21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vbXKscAAADi&#10;AAAADwAAAAAAAAAAAAAAAACqAgAAZHJzL2Rvd25yZXYueG1sUEsFBgAAAAAEAAQA+gAAAJ4DAAAA&#10;AA==&#10;">
                      <v:shapetype id="_x0000_t202" coordsize="21600,21600" o:spt="202" path="m,l,21600r21600,l21600,xe">
                        <v:stroke joinstyle="miter"/>
                        <v:path gradientshapeok="t" o:connecttype="rect"/>
                      </v:shapetype>
                      <v:shape id="Text Box 8" o:spid="_x0000_s1035" type="#_x0000_t202" style="position:absolute;left:2560;width:8017;height:2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qjMYA&#10;AADjAAAADwAAAGRycy9kb3ducmV2LnhtbERPS2vCQBC+C/0PyxR60934CBJdpYSKPQna0vM0OybB&#10;7GzIbmP8911B8Djfe9bbwTaip87XjjUkEwWCuHCm5lLD99duvAThA7LBxjFpuJGH7eZltMbMuCsf&#10;qT+FUsQQ9hlqqEJoMyl9UZFFP3EtceTOrrMY4tmV0nR4jeG2kVOlUmmx5thQYUt5RcXl9Gc15Crf&#10;+X6f/KY3V19+lh98aIu91m+vw/sKRKAhPMUP96eJ89NFsphN1XwG958iAH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uqjMYAAADjAAAADwAAAAAAAAAAAAAAAACYAgAAZHJz&#10;L2Rvd25yZXYueG1sUEsFBgAAAAAEAAQA9QAAAIsDAAAAAA==&#10;" fillcolor="white [3201]" strokecolor="#4f81bd [3204]" strokeweight="2pt">
                        <v:textbox>
                          <w:txbxContent>
                            <w:p w14:paraId="14229645" w14:textId="6C68A419" w:rsidR="009F76FA" w:rsidRDefault="009F76FA" w:rsidP="00AD7757">
                              <w:pPr>
                                <w:spacing w:after="0" w:line="240" w:lineRule="auto"/>
                                <w:jc w:val="center"/>
                              </w:pPr>
                              <w:r>
                                <w:t>INF</w:t>
                              </w:r>
                            </w:p>
                          </w:txbxContent>
                        </v:textbox>
                      </v:shape>
                      <v:shape id="Text Box 8" o:spid="_x0000_s1036" type="#_x0000_t202" style="position:absolute;left:23957;top:182;width:8017;height:2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AvMsA&#10;AADiAAAADwAAAGRycy9kb3ducmV2LnhtbESPQWsCMRSE70L/Q3iFXoomihbdGkUEoYJFqiIen5vX&#10;zdLNy7JJdeuvbwoFj8PMfMNM562rxIWaUHrW0O8pEMS5NyUXGg77VXcMIkRkg5Vn0vBDAeazh84U&#10;M+Ov/EGXXSxEgnDIUIONsc6kDLklh6Hna+LkffrGYUyyKaRp8JrgrpIDpV6kw5LTgsWalpbyr923&#10;04Bbey7D7b26LU+8WK2HGzw+b7R+emwXryAitfEe/m+/GQ0TNRmp/mg8gL9L6Q7I2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EMIC8ywAAAOIAAAAPAAAAAAAAAAAAAAAAAJgC&#10;AABkcnMvZG93bnJldi54bWxQSwUGAAAAAAQABAD1AAAAkAMAAAAA&#10;" fillcolor="white [3201]" strokecolor="black [3200]" strokeweight="2pt">
                        <v:textbox>
                          <w:txbxContent>
                            <w:p w14:paraId="7BC3BB92" w14:textId="2ABC8200" w:rsidR="009F76FA" w:rsidRDefault="009F76FA" w:rsidP="00AD7757">
                              <w:pPr>
                                <w:spacing w:after="0" w:line="240" w:lineRule="auto"/>
                                <w:jc w:val="center"/>
                              </w:pPr>
                              <w:r>
                                <w:t>UNEMP</w:t>
                              </w:r>
                            </w:p>
                          </w:txbxContent>
                        </v:textbox>
                      </v:shape>
                      <v:shape id="Text Box 8" o:spid="_x0000_s1037" type="#_x0000_t202" style="position:absolute;left:13277;top:18324;width:8017;height:2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LYj8gA&#10;AADiAAAADwAAAGRycy9kb3ducmV2LnhtbESPQWvCQBSE74X+h+UJvdWN0dYYXUUKghexant/ZJ/Z&#10;YPZtyG5N/PeuUPA4zMw3zGLV21pcqfWVYwWjYQKCuHC64lLBz2nznoHwAVlj7ZgU3MjDavn6ssBc&#10;u44PdD2GUkQI+xwVmBCaXEpfGLLoh64hjt7ZtRZDlG0pdYtdhNtapknyKS1WHBcMNvRlqLgc/6yC&#10;03eXSSz7YH4ne5muD/vNrj4r9Tbo13MQgfrwDP+3t1rBbDqefUzHWQqPS/EOyO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8tiPyAAAAOIAAAAPAAAAAAAAAAAAAAAAAJgCAABk&#10;cnMvZG93bnJldi54bWxQSwUGAAAAAAQABAD1AAAAjQMAAAAA&#10;" fillcolor="white [3201]" strokecolor="#4bacc6 [3208]" strokeweight="2pt">
                        <v:textbox>
                          <w:txbxContent>
                            <w:p w14:paraId="7EA7C179" w14:textId="65377A89" w:rsidR="009F76FA" w:rsidRDefault="009F76FA" w:rsidP="00AD7757">
                              <w:pPr>
                                <w:spacing w:after="0" w:line="240" w:lineRule="auto"/>
                                <w:jc w:val="center"/>
                              </w:pPr>
                              <w:r>
                                <w:t>EXR</w:t>
                              </w:r>
                            </w:p>
                          </w:txbxContent>
                        </v:textbox>
                      </v:shape>
                      <v:shape id="Text Box 8" o:spid="_x0000_s1038" type="#_x0000_t202" style="position:absolute;left:26846;top:6437;width:8018;height:2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jsYA&#10;AADiAAAADwAAAGRycy9kb3ducmV2LnhtbERPS27CMBDdV+odrKnUXXGAUqKAQSkqCNFVKQcYxUMS&#10;EY9T203C7fECieXT+y/Xg2lER87XlhWMRwkI4sLqmksFp9/tWwrCB2SNjWVScCUP69Xz0xIzbXv+&#10;oe4YShFD2GeooAqhzaT0RUUG/ci2xJE7W2cwROhKqR32Mdw0cpIkH9JgzbGhwpY2FRWX479RMM1p&#10;e3Cfp+7vm69fbd57POxSpV5fhnwBItAQHuK7e68VzGbpJJ2/z+PmeCneAbm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hjsYAAADiAAAADwAAAAAAAAAAAAAAAACYAgAAZHJz&#10;L2Rvd25yZXYueG1sUEsFBgAAAAAEAAQA9QAAAIsDAAAAAA==&#10;" fillcolor="white [3201]" strokecolor="#9bbb59 [3206]" strokeweight="2pt">
                        <v:textbox>
                          <w:txbxContent>
                            <w:p w14:paraId="6DC7EDE6" w14:textId="7A7FC958" w:rsidR="009F76FA" w:rsidRDefault="009F76FA" w:rsidP="00AD7757">
                              <w:pPr>
                                <w:spacing w:after="0" w:line="240" w:lineRule="auto"/>
                                <w:jc w:val="center"/>
                              </w:pPr>
                              <w:r>
                                <w:t>BI RATE</w:t>
                              </w:r>
                            </w:p>
                          </w:txbxContent>
                        </v:textbox>
                      </v:shape>
                      <v:shape id="Text Box 8" o:spid="_x0000_s1039" type="#_x0000_t202" style="position:absolute;top:6437;width:8013;height:2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FPZMgA&#10;AADjAAAADwAAAGRycy9kb3ducmV2LnhtbERPX0vDMBB/F/wO4YS9uXSVaazLhgyEMdzD6hD2djRn&#10;U9ZcuiZb67c3guDj/f7fYjW6VlypD41nDbNpBoK48qbhWsPh4+1egQgR2WDrmTR8U4DV8vZmgYXx&#10;A+/pWsZapBAOBWqwMXaFlKGy5DBMfUecuC/fO4zp7GtpehxSuGtlnmWP0mHDqcFiR2tL1am8OA2c&#10;H8+Xz+ft8XQYrMt31r63u73Wk7vx9QVEpDH+i//cG5PmZzP1oJSaP8HvTwkA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UU9kyAAAAOMAAAAPAAAAAAAAAAAAAAAAAJgCAABk&#10;cnMvZG93bnJldi54bWxQSwUGAAAAAAQABAD1AAAAjQMAAAAA&#10;" fillcolor="white [3201]" strokecolor="#c0504d [3205]" strokeweight="2pt">
                        <v:textbox>
                          <w:txbxContent>
                            <w:p w14:paraId="17CFEC69" w14:textId="6527870C" w:rsidR="009F76FA" w:rsidRDefault="009F76FA" w:rsidP="00AD7757">
                              <w:pPr>
                                <w:spacing w:after="0" w:line="240" w:lineRule="auto"/>
                                <w:jc w:val="center"/>
                              </w:pPr>
                              <w:r>
                                <w:t>GOV</w:t>
                              </w:r>
                            </w:p>
                          </w:txbxContent>
                        </v:textbox>
                      </v:shape>
                      <v:shape id="Text Box 8" o:spid="_x0000_s1040" type="#_x0000_t202" style="position:absolute;left:3438;top:12728;width:8017;height:2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d68kA&#10;AADiAAAADwAAAGRycy9kb3ducmV2LnhtbESPX2vCMBTF3wd+h3AHe5upE6StRtmc4thgMBWfL81d&#10;09nclCRq9+2NMNjj4fz5cWaL3rbiTD40jhWMhhkI4srphmsF+936MQcRIrLG1jEp+KUAi/ngboal&#10;dhf+ovM21iKNcChRgYmxK6UMlSGLYeg64uR9O28xJulrqT1e0rht5VOWTaTFhhPBYEdLQ9Vxe7KJ&#10;az5q/7P8fBmdDqtGdjx+Xb1vlHq475+nICL18T/8137TCvKiKPJxkU/gdindATm/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l5d68kAAADiAAAADwAAAAAAAAAAAAAAAACYAgAA&#10;ZHJzL2Rvd25yZXYueG1sUEsFBgAAAAAEAAQA9QAAAI4DAAAAAA==&#10;" fillcolor="white [3201]" strokecolor="#f79646 [3209]" strokeweight="2pt">
                        <v:textbox>
                          <w:txbxContent>
                            <w:p w14:paraId="25A270FD" w14:textId="1A5F3A4D" w:rsidR="009F76FA" w:rsidRDefault="009F76FA" w:rsidP="00AD7757">
                              <w:pPr>
                                <w:spacing w:after="0" w:line="240" w:lineRule="auto"/>
                                <w:jc w:val="center"/>
                              </w:pPr>
                              <w:r>
                                <w:t>TAX</w:t>
                              </w:r>
                            </w:p>
                          </w:txbxContent>
                        </v:textbox>
                      </v:shape>
                      <v:shape id="Text Box 8" o:spid="_x0000_s1041" type="#_x0000_t202" style="position:absolute;left:23628;top:13057;width:8017;height:2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i0soA&#10;AADiAAAADwAAAGRycy9kb3ducmV2LnhtbESPUWvCMBSF34X9h3AHe9PEIVWqUdxgMCZDWv0Bl+ba&#10;FpubkmS1269fBgMfD+ec73A2u9F2YiAfWsca5jMFgrhypuVaw/n0Nl2BCBHZYOeYNHxTgN32YbLB&#10;3LgbFzSUsRYJwiFHDU2MfS5lqBqyGGauJ07exXmLMUlfS+PxluC2k89KZdJiy2mhwZ5eG6qu5ZfV&#10;MCxiYa/Hw0kVl5fq51Mezt2H1/rpcdyvQUQa4z383343GrIsW6jlcjWHv0vpDsjt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YXotLKAAAA4gAAAA8AAAAAAAAAAAAAAAAAmAIA&#10;AGRycy9kb3ducmV2LnhtbFBLBQYAAAAABAAEAPUAAACPAwAAAAA=&#10;" fillcolor="white [3201]" strokecolor="#8064a2 [3207]" strokeweight="2pt">
                        <v:textbox>
                          <w:txbxContent>
                            <w:p w14:paraId="6F164A85" w14:textId="5457AEA7" w:rsidR="009F76FA" w:rsidRDefault="009F76FA" w:rsidP="00AD7757">
                              <w:pPr>
                                <w:spacing w:after="0" w:line="240" w:lineRule="auto"/>
                                <w:jc w:val="center"/>
                              </w:pPr>
                              <w:r>
                                <w:t>GDP</w:t>
                              </w:r>
                            </w:p>
                          </w:txbxContent>
                        </v:textbox>
                      </v:shape>
                      <v:shape id="Straight Arrow Connector 17" o:spid="_x0000_s1042" type="#_x0000_t32" style="position:absolute;left:10585;top:1551;width:16261;height:64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RgckAAADhAAAADwAAAGRycy9kb3ducmV2LnhtbESPQWvCQBSE7wX/w/IKvdVN1IqmriKF&#10;YHspVAU9PrKv2dDs27C7Ncm/7xYKPQ4z8w2z2Q22FTfyoXGsIJ9mIIgrpxuuFZxP5eMKRIjIGlvH&#10;pGCkALvt5G6DhXY9f9DtGGuRIBwKVGBi7AopQ2XIYpi6jjh5n85bjEn6WmqPfYLbVs6ybCktNpwW&#10;DHb0Yqj6On5bBf7Q5/N3szxkl3Edrm9l2YyUK/VwP+yfQUQa4n/4r/2qFawXi6fVPJ/B76P0BuT2&#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Pf0YHJAAAA4QAAAA8AAAAA&#10;AAAAAAAAAAAAoQIAAGRycy9kb3ducmV2LnhtbFBLBQYAAAAABAAEAPkAAACXAwAAAAA=&#10;" strokecolor="#4579b8 [3044]">
                        <v:stroke startarrow="block" endarrow="block"/>
                      </v:shape>
                      <v:shape id="Straight Arrow Connector 18" o:spid="_x0000_s1043" type="#_x0000_t32" style="position:absolute;left:10585;top:1295;width:13041;height:13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wqkckAAADiAAAADwAAAGRycy9kb3ducmV2LnhtbESPUUvDMBSF3wX/Q7iCby6pY1XrsiFC&#10;mb4Im8L2eGmuTbG5KUlc239vBMHHwznnO5z1dnK9OFOInWcNxUKBIG686bjV8PFe39yDiAnZYO+Z&#10;NMwUYbu5vFhjZfzIezofUisyhGOFGmxKQyVlbCw5jAs/EGfv0weHKcvQShNwzHDXy1ulSumw47xg&#10;caBnS83X4dtpCLuxWL7ZcqeO80M8vdZ1N1Oh9fXV9PQIItGU/sN/7RejYXmnilKt1Ap+L+U7ID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K8KpHJAAAA4gAAAA8AAAAA&#10;AAAAAAAAAAAAoQIAAGRycy9kb3ducmV2LnhtbFBLBQYAAAAABAAEAPkAAACXAwAAAAA=&#10;" strokecolor="#4579b8 [3044]">
                        <v:stroke startarrow="block" endarrow="block"/>
                      </v:shape>
                      <v:shape id="Straight Arrow Connector 19" o:spid="_x0000_s1044" type="#_x0000_t32" style="position:absolute;left:10585;top:1770;width:6580;height:165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vB9sYAAADjAAAADwAAAGRycy9kb3ducmV2LnhtbERPzUrEMBC+C75DGMGbm3S3Fq2bXUQo&#10;qxfBVdDj0IxNsZmUJG7btzeC4HG+/9nuZzeIE4XYe9ZQrBQI4tabnjsNb6/N1Q2ImJANDp5Jw0IR&#10;9rvzsy3Wxk/8Qqdj6kQO4VijBpvSWEsZW0sO48qPxJn79MFhymfopAk45XA3yLVSlXTYc26wONKD&#10;pfbr+O00hMNUbJ5tdVDvy238eGqafqFC68uL+f4ORKI5/Yv/3I8mzy/VurreqLKE358yAHL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bwfbGAAAA4wAAAA8AAAAAAAAA&#10;AAAAAAAAoQIAAGRycy9kb3ducmV2LnhtbFBLBQYAAAAABAAEAPkAAACUAwAAAAA=&#10;" strokecolor="#4579b8 [3044]">
                        <v:stroke startarrow="block" endarrow="block"/>
                      </v:shape>
                      <v:shape id="Straight Arrow Connector 20" o:spid="_x0000_s1045" type="#_x0000_t32" style="position:absolute;left:4477;top:2904;width:1975;height:3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K8McgAAADjAAAADwAAAGRycy9kb3ducmV2LnhtbERPS0sDMRC+C/0PYQQvYpO6snTXpqX4&#10;AD22FdTbsBl3l24maRLb9d8bQehxvvcsVqMdxJFC7B1rmE0VCOLGmZ5bDW+755s5iJiQDQ6OScMP&#10;RVgtJxcLrI078YaO29SKHMKxRg1dSr6WMjYdWYxT54kz9+WCxZTP0EoT8JTD7SBvlSqlxZ5zQ4ee&#10;Hjpq9ttvqyHZp/XrY3/4KPfvtgiy+vTVtdf66nJc34NINKaz+N/9YvL8YlZWqlDzO/j7KQM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tK8McgAAADjAAAADwAAAAAA&#10;AAAAAAAAAAChAgAAZHJzL2Rvd25yZXYueG1sUEsFBgAAAAAEAAQA+QAAAJYDAAAAAA==&#10;" strokecolor="#4579b8 [3044]">
                        <v:stroke startarrow="block" endarrow="block"/>
                      </v:shape>
                      <v:shape id="Straight Arrow Connector 21" o:spid="_x0000_s1046" type="#_x0000_t32" style="position:absolute;left:7293;top:1990;width:3768;height:107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hDRercsAAADiAAAADwAA&#10;AAAAAAAAAAAAAAChAgAAZHJzL2Rvd25yZXYueG1sUEsFBgAAAAAEAAQA+QAAAJkDAAAAAA==&#10;" strokecolor="#4579b8 [3044]">
                        <v:stroke startarrow="block" endarrow="block"/>
                      </v:shape>
                      <v:shape id="Straight Arrow Connector 24" o:spid="_x0000_s1047" type="#_x0000_t32" style="position:absolute;left:17352;top:1295;width:6276;height:170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PGBMYAAADiAAAADwAAAGRycy9kb3ducmV2LnhtbESPzYrCMBSF98K8Q7gD7jRVitaOUZwR&#10;cbZWEZeX5tqWaW5KErW+vVkMuDycP77lujetuJPzjWUFk3ECgri0uuFKwem4G2UgfEDW2FomBU/y&#10;sF59DJaYa/vgA92LUIk4wj5HBXUIXS6lL2sy6Me2I47e1TqDIUpXSe3wEcdNK6dJMpMGG44PNXb0&#10;U1P5V9yMgv2864/b5zefXXrIbHMtLrgplBp+9psvEIH68A7/t3+1gnQ2XUyydBEhIlLEAb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TxgTGAAAA4gAAAA8AAAAAAAAA&#10;AAAAAAAAoQIAAGRycy9kb3ducmV2LnhtbFBLBQYAAAAABAAEAPkAAACUAwAAAAA=&#10;" strokecolor="black [3040]">
                        <v:stroke startarrow="block" endarrow="block"/>
                      </v:shape>
                      <v:shape id="Straight Arrow Connector 25" o:spid="_x0000_s1048" type="#_x0000_t32" style="position:absolute;left:23643;top:1770;width:3816;height:11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4OJMkAAADjAAAADwAAAGRycy9kb3ducmV2LnhtbERPX0vDMBB/F/wO4QTfXGqZc63LxpgT&#10;hoJoN/H1aM6m2FxKkm11n94MBB/v9/9mi8F24kA+tI4V3I4yEMS10y03Cnbbp5spiBCRNXaOScEP&#10;BVjMLy9mWGp35Hc6VLERKYRDiQpMjH0pZagNWQwj1xMn7st5izGdvpHa4zGF207mWTaRFltODQZ7&#10;Whmqv6u9VfC8efw4LV/Hb+azqDjUK1806xelrq+G5QOISEP8F/+5NzrNLyZ30/txludw/ikBIO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RODiTJAAAA4wAAAA8AAAAA&#10;AAAAAAAAAAAAoQIAAGRycy9kb3ducmV2LnhtbFBLBQYAAAAABAAEAPkAAACXAwAAAAA=&#10;" strokecolor="black [3040]">
                        <v:stroke startarrow="block" endarrow="block"/>
                      </v:shape>
                      <v:shape id="Straight Arrow Connector 26" o:spid="_x0000_s1049" type="#_x0000_t32" style="position:absolute;left:11463;top:1295;width:12505;height:1317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ozu8YAAADjAAAADwAAAGRycy9kb3ducmV2LnhtbERPX2vCMBB/F/Ydwg32polb0VKN4jbG&#10;fLWVscejOdticylJpvXbL8Jgj/f7f+vtaHtxIR86xxrmMwWCuHam40bDsfqY5iBCRDbYOyYNNwqw&#10;3TxM1lgYd+UDXcrYiBTCoUANbYxDIWWoW7IYZm4gTtzJeYsxnb6RxuM1hdtePiu1kBY7Tg0tDvTW&#10;Un0uf6yGz+UwVu+3V/7y2SF33an8xl2p9dPjuFuBiDTGf/Gfe2/S/Cx7yRdKZXO4/5QA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6M7vGAAAA4wAAAA8AAAAAAAAA&#10;AAAAAAAAoQIAAGRycy9kb3ducmV2LnhtbFBLBQYAAAAABAAEAPkAAACUAwAAAAA=&#10;" strokecolor="black [3040]">
                        <v:stroke startarrow="block" endarrow="block"/>
                      </v:shape>
                      <v:shape id="Straight Arrow Connector 27" o:spid="_x0000_s1050" type="#_x0000_t32" style="position:absolute;left:8025;top:1295;width:15956;height:67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3f5iCygAAAOMAAAAPAAAA&#10;AAAAAAAAAAAAAKECAABkcnMvZG93bnJldi54bWxQSwUGAAAAAAQABAD5AAAAmAMAAAAA&#10;" strokecolor="#bc4542 [3045]">
                        <v:stroke startarrow="block" endarrow="block"/>
                      </v:shape>
                      <v:shape id="Straight Arrow Connector 28" o:spid="_x0000_s1051" type="#_x0000_t32" style="position:absolute;left:4184;top:9342;width:3138;height:3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0sDsoAAADiAAAADwAAAGRycy9kb3ducmV2LnhtbESPQWvCQBSE74X+h+UVvNWNJmqMrqJS&#10;sQcvWgseH9nXJDT7NmRXjf++Kwg9DjPzDTNfdqYWV2pdZVnBoB+BIM6trrhQcPravqcgnEfWWFsm&#10;BXdysFy8vswx0/bGB7oefSEChF2GCkrvm0xKl5dk0PVtQxy8H9sa9EG2hdQt3gLc1HIYRWNpsOKw&#10;UGJDm5Ly3+PFKLAfSXyfrjnfnU/Fdu/O3wc/GijVe+tWMxCeOv8ffrY/tYI4TpIoTccTeFwKd0Au&#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sTSwOygAAAOIAAAAPAAAA&#10;AAAAAAAAAAAAAKECAABkcnMvZG93bnJldi54bWxQSwUGAAAAAAQABAD5AAAAmAMAAAAA&#10;" strokecolor="#bc4542 [3045]">
                        <v:stroke startarrow="block" endarrow="block"/>
                      </v:shape>
                      <v:shape id="Straight Arrow Connector 30" o:spid="_x0000_s1052" type="#_x0000_t32" style="position:absolute;left:8025;top:7696;width:15618;height:70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gpuscAAADiAAAADwAAAGRycy9kb3ducmV2LnhtbERPyW7CMBC9V+IfrEHiVuxAyxIwCKqi&#10;cuDCJnEcxUMSEY+j2IXw9/WhEsent8+Xra3EnRpfOtaQ9BUI4syZknMNp+PmfQLCB2SDlWPS8CQP&#10;y0XnbY6pcQ/e0/0QchFD2KeooQihTqX0WUEWfd/VxJG7usZiiLDJpWnwEcNtJQdKjaTFkmNDgTV9&#10;FZTdDr9Wg/v+GD6na85+Lqd8s/OX8z58Jlr3uu1qBiJQG17if/fWaJiMVTIdj1TcHC/FO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OCm6xwAAAOIAAAAPAAAAAAAA&#10;AAAAAAAAAKECAABkcnMvZG93bnJldi54bWxQSwUGAAAAAAQABAD5AAAAlQMAAAAA&#10;" strokecolor="#bc4542 [3045]">
                        <v:stroke startarrow="block" endarrow="block"/>
                      </v:shape>
                      <v:shape id="Straight Arrow Connector 31" o:spid="_x0000_s1053" type="#_x0000_t32" style="position:absolute;left:8273;top:7674;width:18576;height:3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ar8gAAADjAAAADwAAAGRycy9kb3ducmV2LnhtbERPS2vCQBC+C/0PyxR60920Rmt0lVaU&#10;9uDFR8HjkB2T0OxsyK4a/70rFHqc7z2zRWdrcaHWV441JAMFgjh3puJCw2G/7r+D8AHZYO2YNNzI&#10;w2L+1JthZtyVt3TZhULEEPYZaihDaDIpfV6SRT9wDXHkTq61GOLZFtK0eI3htpavSo2kxYpjQ4kN&#10;LUvKf3dnq8Gthm+3ySfnX8dDsd744882pInWL8/dxxREoC78i//c3ybOT8cjNZ6oNIHHTxEAOb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Qar8gAAADjAAAADwAAAAAA&#10;AAAAAAAAAAChAgAAZHJzL2Rvd25yZXYueG1sUEsFBgAAAAAEAAQA+QAAAJYDAAAAAA==&#10;" strokecolor="#bc4542 [3045]">
                        <v:stroke startarrow="block" endarrow="block"/>
                      </v:shape>
                      <v:shape id="Straight Arrow Connector 32" o:spid="_x0000_s1054" type="#_x0000_t32" style="position:absolute;left:7696;top:15633;width:5602;height:4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hn+35ygAAAOIAAAAPAAAA&#10;AAAAAAAAAAAAAKECAABkcnMvZG93bnJldi54bWxQSwUGAAAAAAQABAD5AAAAmAMAAAAA&#10;" strokecolor="#f68c36 [3049]">
                        <v:stroke startarrow="block" endarrow="block"/>
                      </v:shape>
                      <v:shape id="Straight Arrow Connector 33" o:spid="_x0000_s1055" type="#_x0000_t32" style="position:absolute;left:11455;top:14478;width:12494;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AtXCKGzQAAAOMAAAAP&#10;AAAAAAAAAAAAAAAAAKECAABkcnMvZG93bnJldi54bWxQSwUGAAAAAAQABAD5AAAAmwMAAAAA&#10;" strokecolor="#f68c36 [3049]">
                        <v:stroke startarrow="block" endarrow="block"/>
                      </v:shape>
                      <v:shape id="Straight Arrow Connector 36" o:spid="_x0000_s1056" type="#_x0000_t32" style="position:absolute;left:21302;top:15962;width:6169;height:40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5RxcMsAAADiAAAADwAA&#10;AAAAAAAAAAAAAAChAgAAZHJzL2Rvd25yZXYueG1sUEsFBgAAAAAEAAQA+QAAAJkDAAAAAA==&#10;" strokecolor="#40a7c2 [3048]">
                        <v:stroke startarrow="block" endarrow="block"/>
                      </v:shape>
                      <v:shape id="Straight Arrow Connector 38" o:spid="_x0000_s1057" type="#_x0000_t32" style="position:absolute;left:17644;top:8208;width:8852;height:10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kZAcYAAADiAAAADwAAAGRycy9kb3ducmV2LnhtbERPW0vDMBR+F/YfwhF8c6mDXlaXjSEK&#10;iuzBbuz5rDk2Zc1JSeJW/70RBB8/vvtqM9lBXMiH3rGCh3kGgrh1uudOwWH/cl+BCBFZ4+CYFHxT&#10;gM16drPCWrsrf9CliZ1IIRxqVGBiHGspQ2vIYpi7kThxn85bjAn6TmqP1xRuB7nIskJa7Dk1GBzp&#10;yVB7br6sAn7bnxbG+nOze4/HbFeequVzqdTd7bR9BBFpiv/iP/erTvOXVV4WeV7A76WEQa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5GQHGAAAA4gAAAA8AAAAAAAAA&#10;AAAAAAAAoQIAAGRycy9kb3ducmV2LnhtbFBLBQYAAAAABAAEAPkAAACUAwAAAAA=&#10;" strokecolor="#40a7c2 [3048]">
                        <v:stroke startarrow="block" endarrow="block"/>
                      </v:shape>
                    </v:group>
                  </v:group>
                </v:group>
              </v:group>
            </w:pict>
          </mc:Fallback>
        </mc:AlternateContent>
      </w:r>
    </w:p>
    <w:p w14:paraId="2A66322A" w14:textId="47753F42" w:rsidR="00467331" w:rsidRPr="007D6E11" w:rsidRDefault="00467331" w:rsidP="00467331">
      <w:pPr>
        <w:pStyle w:val="HTMLPreformatted"/>
        <w:jc w:val="both"/>
        <w:rPr>
          <w:rFonts w:ascii="Times New Roman" w:hAnsi="Times New Roman"/>
          <w:color w:val="202124"/>
          <w:sz w:val="22"/>
          <w:szCs w:val="22"/>
        </w:rPr>
      </w:pPr>
    </w:p>
    <w:p w14:paraId="4E8B7EBA" w14:textId="6D7B7DE4" w:rsidR="00467331" w:rsidRPr="007D6E11" w:rsidRDefault="00511AB2" w:rsidP="00467331">
      <w:pPr>
        <w:pStyle w:val="HTMLPreformatted"/>
        <w:jc w:val="both"/>
        <w:rPr>
          <w:rFonts w:ascii="Times New Roman" w:hAnsi="Times New Roman"/>
          <w:color w:val="202124"/>
          <w:sz w:val="22"/>
          <w:szCs w:val="22"/>
        </w:rPr>
      </w:pPr>
      <w:r>
        <w:rPr>
          <w:rFonts w:ascii="Times New Roman" w:hAnsi="Times New Roman"/>
          <w:color w:val="202124"/>
          <w:sz w:val="22"/>
          <w:szCs w:val="22"/>
        </w:rPr>
        <w:t xml:space="preserve"> </w:t>
      </w:r>
    </w:p>
    <w:p w14:paraId="2DC172A1" w14:textId="20791666" w:rsidR="00467331" w:rsidRPr="007D6E11" w:rsidRDefault="00511AB2" w:rsidP="00467331">
      <w:pPr>
        <w:pStyle w:val="HTMLPreformatted"/>
        <w:jc w:val="both"/>
        <w:rPr>
          <w:rFonts w:ascii="Times New Roman" w:hAnsi="Times New Roman"/>
          <w:color w:val="202124"/>
          <w:sz w:val="22"/>
          <w:szCs w:val="22"/>
        </w:rPr>
      </w:pPr>
      <w:r>
        <w:rPr>
          <w:rFonts w:ascii="Times New Roman" w:hAnsi="Times New Roman"/>
          <w:noProof/>
          <w:color w:val="202124"/>
          <w:sz w:val="22"/>
          <w:szCs w:val="22"/>
        </w:rPr>
        <mc:AlternateContent>
          <mc:Choice Requires="wps">
            <w:drawing>
              <wp:anchor distT="0" distB="0" distL="114300" distR="114300" simplePos="0" relativeHeight="251694080" behindDoc="0" locked="0" layoutInCell="1" allowOverlap="1" wp14:anchorId="10823571" wp14:editId="668F197C">
                <wp:simplePos x="0" y="0"/>
                <wp:positionH relativeFrom="column">
                  <wp:posOffset>1198550</wp:posOffset>
                </wp:positionH>
                <wp:positionV relativeFrom="paragraph">
                  <wp:posOffset>41097</wp:posOffset>
                </wp:positionV>
                <wp:extent cx="0" cy="0"/>
                <wp:effectExtent l="0" t="0" r="0" b="0"/>
                <wp:wrapNone/>
                <wp:docPr id="1698369941" name="Straight Arrow Connector 13"/>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54610F" id="Straight Arrow Connector 13" o:spid="_x0000_s1026" type="#_x0000_t32" style="position:absolute;margin-left:94.35pt;margin-top:3.25pt;width:0;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" strokecolor="#4579b8 [3044]">
                <v:stroke endarrow="block"/>
              </v:shape>
            </w:pict>
          </mc:Fallback>
        </mc:AlternateContent>
      </w:r>
    </w:p>
    <w:p w14:paraId="3DC55DD0" w14:textId="0097F82D" w:rsidR="00467331" w:rsidRPr="007D6E11" w:rsidRDefault="00467331" w:rsidP="00E43253">
      <w:pPr>
        <w:pStyle w:val="HTMLPreformatted"/>
        <w:jc w:val="center"/>
        <w:rPr>
          <w:rFonts w:ascii="Times New Roman" w:hAnsi="Times New Roman"/>
          <w:color w:val="202124"/>
          <w:sz w:val="22"/>
          <w:szCs w:val="22"/>
        </w:rPr>
      </w:pPr>
    </w:p>
    <w:p w14:paraId="1B041C44" w14:textId="3AC8C881" w:rsidR="00467331" w:rsidRPr="007D6E11" w:rsidRDefault="00467331" w:rsidP="00E43253">
      <w:pPr>
        <w:pStyle w:val="HTMLPreformatted"/>
        <w:jc w:val="center"/>
        <w:rPr>
          <w:rFonts w:ascii="Times New Roman" w:hAnsi="Times New Roman"/>
          <w:color w:val="202124"/>
          <w:sz w:val="22"/>
          <w:szCs w:val="22"/>
        </w:rPr>
      </w:pPr>
    </w:p>
    <w:p w14:paraId="7CC6337F" w14:textId="22AD6A1B" w:rsidR="00467331" w:rsidRDefault="00467331" w:rsidP="00E43253">
      <w:pPr>
        <w:pStyle w:val="HTMLPreformatted"/>
        <w:jc w:val="center"/>
        <w:rPr>
          <w:rFonts w:ascii="Times New Roman" w:hAnsi="Times New Roman"/>
          <w:color w:val="202124"/>
          <w:sz w:val="22"/>
          <w:szCs w:val="22"/>
        </w:rPr>
      </w:pPr>
    </w:p>
    <w:p w14:paraId="5BD3A55F" w14:textId="2F5D300E" w:rsidR="001500E2" w:rsidRDefault="001500E2" w:rsidP="00E43253">
      <w:pPr>
        <w:pStyle w:val="HTMLPreformatted"/>
        <w:jc w:val="center"/>
        <w:rPr>
          <w:rFonts w:ascii="Times New Roman" w:hAnsi="Times New Roman"/>
          <w:color w:val="202124"/>
          <w:sz w:val="22"/>
          <w:szCs w:val="22"/>
        </w:rPr>
      </w:pPr>
    </w:p>
    <w:p w14:paraId="7092CE0D" w14:textId="6888A0EA" w:rsidR="001500E2" w:rsidRDefault="001500E2" w:rsidP="00E43253">
      <w:pPr>
        <w:pStyle w:val="HTMLPreformatted"/>
        <w:jc w:val="center"/>
        <w:rPr>
          <w:rFonts w:ascii="Times New Roman" w:hAnsi="Times New Roman"/>
          <w:color w:val="202124"/>
          <w:sz w:val="22"/>
          <w:szCs w:val="22"/>
        </w:rPr>
      </w:pPr>
    </w:p>
    <w:p w14:paraId="1B352844" w14:textId="0DF5C49E" w:rsidR="001500E2" w:rsidRDefault="001500E2" w:rsidP="00E43253">
      <w:pPr>
        <w:pStyle w:val="HTMLPreformatted"/>
        <w:jc w:val="center"/>
        <w:rPr>
          <w:rFonts w:ascii="Times New Roman" w:hAnsi="Times New Roman"/>
          <w:color w:val="202124"/>
          <w:sz w:val="22"/>
          <w:szCs w:val="22"/>
        </w:rPr>
      </w:pPr>
    </w:p>
    <w:p w14:paraId="4DD3F79D" w14:textId="47AB6032" w:rsidR="001500E2" w:rsidRPr="007D6E11" w:rsidRDefault="001500E2" w:rsidP="00E43253">
      <w:pPr>
        <w:pStyle w:val="HTMLPreformatted"/>
        <w:jc w:val="center"/>
        <w:rPr>
          <w:rFonts w:ascii="Times New Roman" w:hAnsi="Times New Roman"/>
          <w:color w:val="202124"/>
          <w:sz w:val="22"/>
          <w:szCs w:val="22"/>
        </w:rPr>
      </w:pPr>
    </w:p>
    <w:p w14:paraId="1ECB1A32" w14:textId="77777777" w:rsidR="00511AB2" w:rsidRPr="007D6E11" w:rsidRDefault="00511AB2" w:rsidP="00E43253">
      <w:pPr>
        <w:pStyle w:val="HTMLPreformatted"/>
        <w:jc w:val="center"/>
        <w:rPr>
          <w:rFonts w:ascii="Times New Roman" w:hAnsi="Times New Roman"/>
          <w:color w:val="202124"/>
          <w:sz w:val="22"/>
          <w:szCs w:val="22"/>
        </w:rPr>
      </w:pPr>
    </w:p>
    <w:p w14:paraId="38CFE2DC" w14:textId="77777777" w:rsidR="00A500D7" w:rsidRDefault="00A500D7" w:rsidP="00E43253">
      <w:pPr>
        <w:pStyle w:val="HTMLPreformatted"/>
        <w:jc w:val="center"/>
        <w:rPr>
          <w:rFonts w:ascii="Times New Roman" w:hAnsi="Times New Roman"/>
          <w:color w:val="202124"/>
          <w:sz w:val="22"/>
          <w:szCs w:val="22"/>
        </w:rPr>
      </w:pPr>
    </w:p>
    <w:p w14:paraId="5784289E" w14:textId="7F83F2C8" w:rsidR="00467331" w:rsidRPr="0072750F" w:rsidRDefault="00467331" w:rsidP="00E43253">
      <w:pPr>
        <w:pStyle w:val="HTMLPreformatted"/>
        <w:rPr>
          <w:rFonts w:ascii="Times New Roman" w:hAnsi="Times New Roman"/>
          <w:b/>
          <w:color w:val="202124"/>
          <w:sz w:val="22"/>
          <w:szCs w:val="22"/>
        </w:rPr>
      </w:pPr>
      <w:proofErr w:type="gramStart"/>
      <w:r w:rsidRPr="0072750F">
        <w:rPr>
          <w:rFonts w:ascii="Times New Roman" w:hAnsi="Times New Roman"/>
          <w:b/>
          <w:color w:val="202124"/>
          <w:sz w:val="22"/>
          <w:szCs w:val="22"/>
        </w:rPr>
        <w:t xml:space="preserve">Gambar </w:t>
      </w:r>
      <w:r w:rsidR="003C3504" w:rsidRPr="0072750F">
        <w:rPr>
          <w:rFonts w:ascii="Times New Roman" w:hAnsi="Times New Roman"/>
          <w:b/>
          <w:color w:val="202124"/>
          <w:sz w:val="22"/>
          <w:szCs w:val="22"/>
        </w:rPr>
        <w:t>1</w:t>
      </w:r>
      <w:r w:rsidRPr="0072750F">
        <w:rPr>
          <w:rFonts w:ascii="Times New Roman" w:hAnsi="Times New Roman"/>
          <w:b/>
          <w:color w:val="202124"/>
          <w:sz w:val="22"/>
          <w:szCs w:val="22"/>
        </w:rPr>
        <w:t>.</w:t>
      </w:r>
      <w:proofErr w:type="gramEnd"/>
      <w:r w:rsidRPr="0072750F">
        <w:rPr>
          <w:rFonts w:ascii="Times New Roman" w:hAnsi="Times New Roman"/>
          <w:b/>
          <w:color w:val="202124"/>
          <w:sz w:val="22"/>
          <w:szCs w:val="22"/>
        </w:rPr>
        <w:t xml:space="preserve"> Kerangka Konseptual VAR</w:t>
      </w:r>
    </w:p>
    <w:p w14:paraId="7AD1B459" w14:textId="77777777" w:rsidR="007D6E11" w:rsidRDefault="007D6E11" w:rsidP="007D6E11">
      <w:pPr>
        <w:spacing w:after="0" w:line="240" w:lineRule="auto"/>
        <w:jc w:val="both"/>
      </w:pPr>
      <w:proofErr w:type="gramStart"/>
      <w:r w:rsidRPr="007D6E11">
        <w:lastRenderedPageBreak/>
        <w:t>Salah satu Metode Analisis Data dalam penelitian ini menggunakan alat analisis prediksi VAR. Vector Auto Regression (VAR) merupakan model yang digunakan untuk memprediksi hubungan timbal balik jangka pendek, menengah dan panjang.</w:t>
      </w:r>
      <w:proofErr w:type="gramEnd"/>
      <w:r w:rsidRPr="007D6E11">
        <w:t xml:space="preserve"> Berdasarkan kerangka konseptual VAR yang dibangun</w:t>
      </w:r>
      <w:r w:rsidRPr="007D6E11">
        <w:rPr>
          <w:color w:val="000000"/>
        </w:rPr>
        <w:t xml:space="preserve"> </w:t>
      </w:r>
      <w:r w:rsidRPr="007D6E11">
        <w:t xml:space="preserve">maka persamaan model yang di bentuk sebagai </w:t>
      </w:r>
      <w:proofErr w:type="gramStart"/>
      <w:r w:rsidRPr="007D6E11">
        <w:t>berikut :</w:t>
      </w:r>
      <w:proofErr w:type="gramEnd"/>
    </w:p>
    <w:p w14:paraId="0DACE6FA" w14:textId="5949AF2A" w:rsidR="007D6E11" w:rsidRDefault="007D6E11" w:rsidP="007D6E11">
      <w:pPr>
        <w:spacing w:after="0" w:line="240" w:lineRule="auto"/>
        <w:jc w:val="both"/>
      </w:pPr>
      <w:r w:rsidRPr="007D6E11">
        <w:t xml:space="preserve">Hasil identifikasi persamaan pertama adalah exact identified sedangkan hasil identifikasi persamaan </w:t>
      </w:r>
      <w:r w:rsidRPr="00862ADC">
        <w:t xml:space="preserve">kedua adalah over identified. </w:t>
      </w:r>
      <w:proofErr w:type="gramStart"/>
      <w:r w:rsidRPr="00862ADC">
        <w:t>Maka selanjutnya dapat digunakan metode TSLS untuk mengestimasi hasil penelitian.</w:t>
      </w:r>
      <w:proofErr w:type="gramEnd"/>
    </w:p>
    <w:p w14:paraId="508F071D" w14:textId="77777777" w:rsidR="00D23356" w:rsidRDefault="00D23356" w:rsidP="007D6E11">
      <w:pPr>
        <w:spacing w:after="0" w:line="240" w:lineRule="auto"/>
        <w:jc w:val="both"/>
      </w:pPr>
    </w:p>
    <w:p w14:paraId="11FB3DFF" w14:textId="75F05646" w:rsidR="00D23356" w:rsidRPr="00DD4AFD" w:rsidRDefault="009F76FA" w:rsidP="007D6E11">
      <w:pPr>
        <w:spacing w:after="0" w:line="240" w:lineRule="auto"/>
        <w:jc w:val="both"/>
      </w:pPr>
      <m:oMathPara>
        <m:oMathParaPr>
          <m:jc m:val="left"/>
        </m:oMathParaPr>
        <m:oMath>
          <m:sSub>
            <m:sSubPr>
              <m:ctrlPr>
                <w:rPr>
                  <w:rFonts w:ascii="Cambria Math" w:hAnsi="Cambria Math"/>
                  <w:i/>
                </w:rPr>
              </m:ctrlPr>
            </m:sSubPr>
            <m:e>
              <m:r>
                <w:rPr>
                  <w:rFonts w:ascii="Cambria Math" w:hAnsi="Cambria Math"/>
                </w:rPr>
                <m:t>INF</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10</m:t>
              </m:r>
            </m:sub>
          </m:sSub>
          <m:sSub>
            <m:sSubPr>
              <m:ctrlPr>
                <w:rPr>
                  <w:rFonts w:ascii="Cambria Math" w:hAnsi="Cambria Math"/>
                  <w:i/>
                </w:rPr>
              </m:ctrlPr>
            </m:sSubPr>
            <m:e>
              <m:r>
                <w:rPr>
                  <w:rFonts w:ascii="Cambria Math" w:hAnsi="Cambria Math"/>
                </w:rPr>
                <m:t>UNEMP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11</m:t>
              </m:r>
            </m:sub>
          </m:sSub>
          <m:sSub>
            <m:sSubPr>
              <m:ctrlPr>
                <w:rPr>
                  <w:rFonts w:ascii="Cambria Math" w:hAnsi="Cambria Math"/>
                  <w:i/>
                </w:rPr>
              </m:ctrlPr>
            </m:sSubPr>
            <m:e>
              <m:r>
                <w:rPr>
                  <w:rFonts w:ascii="Cambria Math" w:hAnsi="Cambria Math"/>
                </w:rPr>
                <m:t>GOV</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12</m:t>
              </m:r>
            </m:sub>
          </m:sSub>
          <m:sSub>
            <m:sSubPr>
              <m:ctrlPr>
                <w:rPr>
                  <w:rFonts w:ascii="Cambria Math" w:hAnsi="Cambria Math"/>
                  <w:i/>
                </w:rPr>
              </m:ctrlPr>
            </m:sSubPr>
            <m:e>
              <m:r>
                <w:rPr>
                  <w:rFonts w:ascii="Cambria Math" w:hAnsi="Cambria Math"/>
                </w:rPr>
                <m:t>BIRATE</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13</m:t>
              </m:r>
            </m:sub>
          </m:sSub>
          <m:sSub>
            <m:sSubPr>
              <m:ctrlPr>
                <w:rPr>
                  <w:rFonts w:ascii="Cambria Math" w:hAnsi="Cambria Math"/>
                  <w:i/>
                </w:rPr>
              </m:ctrlPr>
            </m:sSubPr>
            <m:e>
              <m:r>
                <w:rPr>
                  <w:rFonts w:ascii="Cambria Math" w:hAnsi="Cambria Math"/>
                </w:rPr>
                <m:t>GDP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14</m:t>
              </m:r>
            </m:sub>
          </m:sSub>
          <m:sSub>
            <m:sSubPr>
              <m:ctrlPr>
                <w:rPr>
                  <w:rFonts w:ascii="Cambria Math" w:hAnsi="Cambria Math"/>
                  <w:i/>
                </w:rPr>
              </m:ctrlPr>
            </m:sSubPr>
            <m:e>
              <m:r>
                <w:rPr>
                  <w:rFonts w:ascii="Cambria Math" w:hAnsi="Cambria Math"/>
                </w:rPr>
                <m:t>TAX</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15</m:t>
              </m:r>
            </m:sub>
          </m:sSub>
          <m:sSub>
            <m:sSubPr>
              <m:ctrlPr>
                <w:rPr>
                  <w:rFonts w:ascii="Cambria Math" w:hAnsi="Cambria Math"/>
                  <w:i/>
                </w:rPr>
              </m:ctrlPr>
            </m:sSubPr>
            <m:e>
              <m:r>
                <w:rPr>
                  <w:rFonts w:ascii="Cambria Math" w:hAnsi="Cambria Math"/>
                </w:rPr>
                <m:t>EXR</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16</m:t>
              </m:r>
            </m:sub>
          </m:sSub>
          <m:sSub>
            <m:sSubPr>
              <m:ctrlPr>
                <w:rPr>
                  <w:rFonts w:ascii="Cambria Math" w:hAnsi="Cambria Math"/>
                  <w:i/>
                </w:rPr>
              </m:ctrlPr>
            </m:sSubPr>
            <m:e>
              <m:r>
                <w:rPr>
                  <w:rFonts w:ascii="Cambria Math" w:hAnsi="Cambria Math"/>
                </w:rPr>
                <m:t>INF</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 xml:space="preserve">                                                                                                                     </m:t>
          </m:r>
          <m:d>
            <m:dPr>
              <m:ctrlPr>
                <w:rPr>
                  <w:rFonts w:ascii="Cambria Math" w:hAnsi="Cambria Math"/>
                  <w:i/>
                </w:rPr>
              </m:ctrlPr>
            </m:dPr>
            <m:e>
              <m:r>
                <w:rPr>
                  <w:rFonts w:ascii="Cambria Math" w:hAnsi="Cambria Math"/>
                </w:rPr>
                <m:t>1</m:t>
              </m:r>
            </m:e>
          </m:d>
        </m:oMath>
      </m:oMathPara>
    </w:p>
    <w:p w14:paraId="4733EE82" w14:textId="4F98BAE3" w:rsidR="00DD4AFD" w:rsidRPr="00DD4AFD" w:rsidRDefault="009F76FA" w:rsidP="007D6E11">
      <w:pPr>
        <w:spacing w:after="0" w:line="240" w:lineRule="auto"/>
        <w:jc w:val="both"/>
      </w:pPr>
      <m:oMathPara>
        <m:oMathParaPr>
          <m:jc m:val="left"/>
        </m:oMathParaPr>
        <m:oMath>
          <m:sSub>
            <m:sSubPr>
              <m:ctrlPr>
                <w:rPr>
                  <w:rFonts w:ascii="Cambria Math" w:hAnsi="Cambria Math"/>
                  <w:i/>
                </w:rPr>
              </m:ctrlPr>
            </m:sSubPr>
            <m:e>
              <m:r>
                <w:rPr>
                  <w:rFonts w:ascii="Cambria Math" w:hAnsi="Cambria Math"/>
                </w:rPr>
                <m:t>UNEMP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20</m:t>
              </m:r>
            </m:sub>
          </m:sSub>
          <m:sSub>
            <m:sSubPr>
              <m:ctrlPr>
                <w:rPr>
                  <w:rFonts w:ascii="Cambria Math" w:hAnsi="Cambria Math"/>
                  <w:i/>
                </w:rPr>
              </m:ctrlPr>
            </m:sSubPr>
            <m:e>
              <m:r>
                <w:rPr>
                  <w:rFonts w:ascii="Cambria Math" w:hAnsi="Cambria Math"/>
                </w:rPr>
                <m:t>GOV</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21</m:t>
              </m:r>
            </m:sub>
          </m:sSub>
          <m:sSub>
            <m:sSubPr>
              <m:ctrlPr>
                <w:rPr>
                  <w:rFonts w:ascii="Cambria Math" w:hAnsi="Cambria Math"/>
                  <w:i/>
                </w:rPr>
              </m:ctrlPr>
            </m:sSubPr>
            <m:e>
              <m:r>
                <w:rPr>
                  <w:rFonts w:ascii="Cambria Math" w:hAnsi="Cambria Math"/>
                </w:rPr>
                <m:t>BIRATE</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22</m:t>
              </m:r>
            </m:sub>
          </m:sSub>
          <m:sSub>
            <m:sSubPr>
              <m:ctrlPr>
                <w:rPr>
                  <w:rFonts w:ascii="Cambria Math" w:hAnsi="Cambria Math"/>
                  <w:i/>
                </w:rPr>
              </m:ctrlPr>
            </m:sSubPr>
            <m:e>
              <m:r>
                <w:rPr>
                  <w:rFonts w:ascii="Cambria Math" w:hAnsi="Cambria Math"/>
                </w:rPr>
                <m:t>GDP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23</m:t>
              </m:r>
            </m:sub>
          </m:sSub>
          <m:sSub>
            <m:sSubPr>
              <m:ctrlPr>
                <w:rPr>
                  <w:rFonts w:ascii="Cambria Math" w:hAnsi="Cambria Math"/>
                  <w:i/>
                </w:rPr>
              </m:ctrlPr>
            </m:sSubPr>
            <m:e>
              <m:r>
                <w:rPr>
                  <w:rFonts w:ascii="Cambria Math" w:hAnsi="Cambria Math"/>
                </w:rPr>
                <m:t>TAX</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24</m:t>
              </m:r>
            </m:sub>
          </m:sSub>
          <m:sSub>
            <m:sSubPr>
              <m:ctrlPr>
                <w:rPr>
                  <w:rFonts w:ascii="Cambria Math" w:hAnsi="Cambria Math"/>
                  <w:i/>
                </w:rPr>
              </m:ctrlPr>
            </m:sSubPr>
            <m:e>
              <m:r>
                <w:rPr>
                  <w:rFonts w:ascii="Cambria Math" w:hAnsi="Cambria Math"/>
                </w:rPr>
                <m:t>EXR</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25</m:t>
              </m:r>
            </m:sub>
          </m:sSub>
          <m:sSub>
            <m:sSubPr>
              <m:ctrlPr>
                <w:rPr>
                  <w:rFonts w:ascii="Cambria Math" w:hAnsi="Cambria Math"/>
                  <w:i/>
                </w:rPr>
              </m:ctrlPr>
            </m:sSubPr>
            <m:e>
              <m:r>
                <w:rPr>
                  <w:rFonts w:ascii="Cambria Math" w:hAnsi="Cambria Math"/>
                </w:rPr>
                <m:t>INF</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26</m:t>
              </m:r>
            </m:sub>
          </m:sSub>
          <m:sSub>
            <m:sSubPr>
              <m:ctrlPr>
                <w:rPr>
                  <w:rFonts w:ascii="Cambria Math" w:hAnsi="Cambria Math"/>
                  <w:i/>
                </w:rPr>
              </m:ctrlPr>
            </m:sSubPr>
            <m:e>
              <m:r>
                <w:rPr>
                  <w:rFonts w:ascii="Cambria Math" w:hAnsi="Cambria Math"/>
                </w:rPr>
                <m:t>UNEMP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 xml:space="preserve">                                                                                                             </m:t>
          </m:r>
          <m:d>
            <m:dPr>
              <m:ctrlPr>
                <w:rPr>
                  <w:rFonts w:ascii="Cambria Math" w:hAnsi="Cambria Math"/>
                  <w:i/>
                </w:rPr>
              </m:ctrlPr>
            </m:dPr>
            <m:e>
              <m:r>
                <w:rPr>
                  <w:rFonts w:ascii="Cambria Math" w:hAnsi="Cambria Math"/>
                </w:rPr>
                <m:t>2</m:t>
              </m:r>
            </m:e>
          </m:d>
        </m:oMath>
      </m:oMathPara>
    </w:p>
    <w:p w14:paraId="5ABE5ED6" w14:textId="2F6CF9AC" w:rsidR="00DD4AFD" w:rsidRPr="00DD4AFD" w:rsidRDefault="009F76FA" w:rsidP="007D6E11">
      <w:pPr>
        <w:spacing w:after="0" w:line="240" w:lineRule="auto"/>
        <w:jc w:val="both"/>
      </w:pPr>
      <m:oMathPara>
        <m:oMathParaPr>
          <m:jc m:val="left"/>
        </m:oMathParaPr>
        <m:oMath>
          <m:sSub>
            <m:sSubPr>
              <m:ctrlPr>
                <w:rPr>
                  <w:rFonts w:ascii="Cambria Math" w:hAnsi="Cambria Math"/>
                  <w:i/>
                </w:rPr>
              </m:ctrlPr>
            </m:sSubPr>
            <m:e>
              <m:r>
                <w:rPr>
                  <w:rFonts w:ascii="Cambria Math" w:hAnsi="Cambria Math"/>
                </w:rPr>
                <m:t>GOV</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30</m:t>
              </m:r>
            </m:sub>
          </m:sSub>
          <m:sSub>
            <m:sSubPr>
              <m:ctrlPr>
                <w:rPr>
                  <w:rFonts w:ascii="Cambria Math" w:hAnsi="Cambria Math"/>
                  <w:i/>
                </w:rPr>
              </m:ctrlPr>
            </m:sSubPr>
            <m:e>
              <m:r>
                <w:rPr>
                  <w:rFonts w:ascii="Cambria Math" w:hAnsi="Cambria Math"/>
                </w:rPr>
                <m:t>BIRATE</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31</m:t>
              </m:r>
            </m:sub>
          </m:sSub>
          <m:sSub>
            <m:sSubPr>
              <m:ctrlPr>
                <w:rPr>
                  <w:rFonts w:ascii="Cambria Math" w:hAnsi="Cambria Math"/>
                  <w:i/>
                </w:rPr>
              </m:ctrlPr>
            </m:sSubPr>
            <m:e>
              <m:r>
                <w:rPr>
                  <w:rFonts w:ascii="Cambria Math" w:hAnsi="Cambria Math"/>
                </w:rPr>
                <m:t>GDP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32</m:t>
              </m:r>
            </m:sub>
          </m:sSub>
          <m:sSub>
            <m:sSubPr>
              <m:ctrlPr>
                <w:rPr>
                  <w:rFonts w:ascii="Cambria Math" w:hAnsi="Cambria Math"/>
                  <w:i/>
                </w:rPr>
              </m:ctrlPr>
            </m:sSubPr>
            <m:e>
              <m:r>
                <w:rPr>
                  <w:rFonts w:ascii="Cambria Math" w:hAnsi="Cambria Math"/>
                </w:rPr>
                <m:t>TAX</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33</m:t>
              </m:r>
            </m:sub>
          </m:sSub>
          <m:sSub>
            <m:sSubPr>
              <m:ctrlPr>
                <w:rPr>
                  <w:rFonts w:ascii="Cambria Math" w:hAnsi="Cambria Math"/>
                  <w:i/>
                </w:rPr>
              </m:ctrlPr>
            </m:sSubPr>
            <m:e>
              <m:r>
                <w:rPr>
                  <w:rFonts w:ascii="Cambria Math" w:hAnsi="Cambria Math"/>
                </w:rPr>
                <m:t>EXR</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34</m:t>
              </m:r>
            </m:sub>
          </m:sSub>
          <m:sSub>
            <m:sSubPr>
              <m:ctrlPr>
                <w:rPr>
                  <w:rFonts w:ascii="Cambria Math" w:hAnsi="Cambria Math"/>
                  <w:i/>
                </w:rPr>
              </m:ctrlPr>
            </m:sSubPr>
            <m:e>
              <m:r>
                <w:rPr>
                  <w:rFonts w:ascii="Cambria Math" w:hAnsi="Cambria Math"/>
                </w:rPr>
                <m:t>INF</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35</m:t>
              </m:r>
            </m:sub>
          </m:sSub>
          <m:sSub>
            <m:sSubPr>
              <m:ctrlPr>
                <w:rPr>
                  <w:rFonts w:ascii="Cambria Math" w:hAnsi="Cambria Math"/>
                  <w:i/>
                </w:rPr>
              </m:ctrlPr>
            </m:sSubPr>
            <m:e>
              <m:r>
                <w:rPr>
                  <w:rFonts w:ascii="Cambria Math" w:hAnsi="Cambria Math"/>
                </w:rPr>
                <m:t>UNEMP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36</m:t>
              </m:r>
            </m:sub>
          </m:sSub>
          <m:sSub>
            <m:sSubPr>
              <m:ctrlPr>
                <w:rPr>
                  <w:rFonts w:ascii="Cambria Math" w:hAnsi="Cambria Math"/>
                  <w:i/>
                </w:rPr>
              </m:ctrlPr>
            </m:sSubPr>
            <m:e>
              <m:r>
                <w:rPr>
                  <w:rFonts w:ascii="Cambria Math" w:hAnsi="Cambria Math"/>
                </w:rPr>
                <m:t>GO</m:t>
              </m:r>
              <m:r>
                <w:rPr>
                  <w:rFonts w:ascii="Cambria Math" w:hAnsi="Cambria Math"/>
                </w:rPr>
                <m:t>V</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3</m:t>
              </m:r>
            </m:sub>
          </m:sSub>
          <m:r>
            <w:rPr>
              <w:rFonts w:ascii="Cambria Math" w:hAnsi="Cambria Math"/>
            </w:rPr>
            <m:t xml:space="preserve">                                                                                                                    </m:t>
          </m:r>
          <m:d>
            <m:dPr>
              <m:ctrlPr>
                <w:rPr>
                  <w:rFonts w:ascii="Cambria Math" w:hAnsi="Cambria Math"/>
                  <w:i/>
                </w:rPr>
              </m:ctrlPr>
            </m:dPr>
            <m:e>
              <m:r>
                <w:rPr>
                  <w:rFonts w:ascii="Cambria Math" w:hAnsi="Cambria Math"/>
                </w:rPr>
                <m:t>3</m:t>
              </m:r>
            </m:e>
          </m:d>
        </m:oMath>
      </m:oMathPara>
    </w:p>
    <w:p w14:paraId="2A068342" w14:textId="575F93E6" w:rsidR="00DD4AFD" w:rsidRPr="00DD4AFD" w:rsidRDefault="009F76FA" w:rsidP="007D6E11">
      <w:pPr>
        <w:spacing w:after="0" w:line="240" w:lineRule="auto"/>
        <w:jc w:val="both"/>
      </w:pPr>
      <m:oMathPara>
        <m:oMathParaPr>
          <m:jc m:val="left"/>
        </m:oMathParaPr>
        <m:oMath>
          <m:sSub>
            <m:sSubPr>
              <m:ctrlPr>
                <w:rPr>
                  <w:rFonts w:ascii="Cambria Math" w:hAnsi="Cambria Math"/>
                  <w:i/>
                </w:rPr>
              </m:ctrlPr>
            </m:sSubPr>
            <m:e>
              <m:r>
                <w:rPr>
                  <w:rFonts w:ascii="Cambria Math" w:hAnsi="Cambria Math"/>
                </w:rPr>
                <m:t>BIRATE</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40</m:t>
              </m:r>
            </m:sub>
          </m:sSub>
          <m:sSub>
            <m:sSubPr>
              <m:ctrlPr>
                <w:rPr>
                  <w:rFonts w:ascii="Cambria Math" w:hAnsi="Cambria Math"/>
                  <w:i/>
                </w:rPr>
              </m:ctrlPr>
            </m:sSubPr>
            <m:e>
              <m:r>
                <w:rPr>
                  <w:rFonts w:ascii="Cambria Math" w:hAnsi="Cambria Math"/>
                </w:rPr>
                <m:t>GDP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41</m:t>
              </m:r>
            </m:sub>
          </m:sSub>
          <m:sSub>
            <m:sSubPr>
              <m:ctrlPr>
                <w:rPr>
                  <w:rFonts w:ascii="Cambria Math" w:hAnsi="Cambria Math"/>
                  <w:i/>
                </w:rPr>
              </m:ctrlPr>
            </m:sSubPr>
            <m:e>
              <m:r>
                <w:rPr>
                  <w:rFonts w:ascii="Cambria Math" w:hAnsi="Cambria Math"/>
                </w:rPr>
                <m:t>TAX</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42</m:t>
              </m:r>
            </m:sub>
          </m:sSub>
          <m:sSub>
            <m:sSubPr>
              <m:ctrlPr>
                <w:rPr>
                  <w:rFonts w:ascii="Cambria Math" w:hAnsi="Cambria Math"/>
                  <w:i/>
                </w:rPr>
              </m:ctrlPr>
            </m:sSubPr>
            <m:e>
              <m:r>
                <w:rPr>
                  <w:rFonts w:ascii="Cambria Math" w:hAnsi="Cambria Math"/>
                </w:rPr>
                <m:t>EXR</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43</m:t>
              </m:r>
            </m:sub>
          </m:sSub>
          <m:sSub>
            <m:sSubPr>
              <m:ctrlPr>
                <w:rPr>
                  <w:rFonts w:ascii="Cambria Math" w:hAnsi="Cambria Math"/>
                  <w:i/>
                </w:rPr>
              </m:ctrlPr>
            </m:sSubPr>
            <m:e>
              <m:r>
                <w:rPr>
                  <w:rFonts w:ascii="Cambria Math" w:hAnsi="Cambria Math"/>
                </w:rPr>
                <m:t>INF</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44</m:t>
              </m:r>
            </m:sub>
          </m:sSub>
          <m:sSub>
            <m:sSubPr>
              <m:ctrlPr>
                <w:rPr>
                  <w:rFonts w:ascii="Cambria Math" w:hAnsi="Cambria Math"/>
                  <w:i/>
                </w:rPr>
              </m:ctrlPr>
            </m:sSubPr>
            <m:e>
              <m:r>
                <w:rPr>
                  <w:rFonts w:ascii="Cambria Math" w:hAnsi="Cambria Math"/>
                </w:rPr>
                <m:t>UNE</m:t>
              </m:r>
              <m:r>
                <w:rPr>
                  <w:rFonts w:ascii="Cambria Math" w:hAnsi="Cambria Math"/>
                </w:rPr>
                <m:t>MP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45</m:t>
              </m:r>
            </m:sub>
          </m:sSub>
          <m:sSub>
            <m:sSubPr>
              <m:ctrlPr>
                <w:rPr>
                  <w:rFonts w:ascii="Cambria Math" w:hAnsi="Cambria Math"/>
                  <w:i/>
                </w:rPr>
              </m:ctrlPr>
            </m:sSubPr>
            <m:e>
              <m:r>
                <w:rPr>
                  <w:rFonts w:ascii="Cambria Math" w:hAnsi="Cambria Math"/>
                </w:rPr>
                <m:t>GOV</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46</m:t>
              </m:r>
            </m:sub>
          </m:sSub>
          <m:sSub>
            <m:sSubPr>
              <m:ctrlPr>
                <w:rPr>
                  <w:rFonts w:ascii="Cambria Math" w:hAnsi="Cambria Math"/>
                  <w:i/>
                </w:rPr>
              </m:ctrlPr>
            </m:sSubPr>
            <m:e>
              <m:r>
                <w:rPr>
                  <w:rFonts w:ascii="Cambria Math" w:hAnsi="Cambria Math"/>
                </w:rPr>
                <m:t>BIRATE</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4</m:t>
              </m:r>
            </m:sub>
          </m:sSub>
          <m:r>
            <w:rPr>
              <w:rFonts w:ascii="Cambria Math" w:hAnsi="Cambria Math"/>
            </w:rPr>
            <m:t xml:space="preserve">                                                                                                            </m:t>
          </m:r>
          <m:d>
            <m:dPr>
              <m:ctrlPr>
                <w:rPr>
                  <w:rFonts w:ascii="Cambria Math" w:hAnsi="Cambria Math"/>
                  <w:i/>
                </w:rPr>
              </m:ctrlPr>
            </m:dPr>
            <m:e>
              <m:r>
                <w:rPr>
                  <w:rFonts w:ascii="Cambria Math" w:hAnsi="Cambria Math"/>
                </w:rPr>
                <m:t>4</m:t>
              </m:r>
            </m:e>
          </m:d>
        </m:oMath>
      </m:oMathPara>
    </w:p>
    <w:p w14:paraId="0126F0BE" w14:textId="572BE012" w:rsidR="00DD4AFD" w:rsidRPr="00DD4AFD" w:rsidRDefault="009F76FA" w:rsidP="007D6E11">
      <w:pPr>
        <w:spacing w:after="0" w:line="240" w:lineRule="auto"/>
        <w:jc w:val="both"/>
      </w:pPr>
      <m:oMathPara>
        <m:oMathParaPr>
          <m:jc m:val="left"/>
        </m:oMathParaPr>
        <m:oMath>
          <m:sSub>
            <m:sSubPr>
              <m:ctrlPr>
                <w:rPr>
                  <w:rFonts w:ascii="Cambria Math" w:hAnsi="Cambria Math"/>
                  <w:i/>
                </w:rPr>
              </m:ctrlPr>
            </m:sSubPr>
            <m:e>
              <m:r>
                <w:rPr>
                  <w:rFonts w:ascii="Cambria Math" w:hAnsi="Cambria Math"/>
                </w:rPr>
                <m:t>GDP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50</m:t>
              </m:r>
            </m:sub>
          </m:sSub>
          <m:sSub>
            <m:sSubPr>
              <m:ctrlPr>
                <w:rPr>
                  <w:rFonts w:ascii="Cambria Math" w:hAnsi="Cambria Math"/>
                  <w:i/>
                </w:rPr>
              </m:ctrlPr>
            </m:sSubPr>
            <m:e>
              <m:r>
                <w:rPr>
                  <w:rFonts w:ascii="Cambria Math" w:hAnsi="Cambria Math"/>
                </w:rPr>
                <m:t>TAX</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51</m:t>
              </m:r>
            </m:sub>
          </m:sSub>
          <m:sSub>
            <m:sSubPr>
              <m:ctrlPr>
                <w:rPr>
                  <w:rFonts w:ascii="Cambria Math" w:hAnsi="Cambria Math"/>
                  <w:i/>
                </w:rPr>
              </m:ctrlPr>
            </m:sSubPr>
            <m:e>
              <m:r>
                <w:rPr>
                  <w:rFonts w:ascii="Cambria Math" w:hAnsi="Cambria Math"/>
                </w:rPr>
                <m:t>EXR</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52</m:t>
              </m:r>
            </m:sub>
          </m:sSub>
          <m:sSub>
            <m:sSubPr>
              <m:ctrlPr>
                <w:rPr>
                  <w:rFonts w:ascii="Cambria Math" w:hAnsi="Cambria Math"/>
                  <w:i/>
                </w:rPr>
              </m:ctrlPr>
            </m:sSubPr>
            <m:e>
              <m:r>
                <w:rPr>
                  <w:rFonts w:ascii="Cambria Math" w:hAnsi="Cambria Math"/>
                </w:rPr>
                <m:t>INF</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53</m:t>
              </m:r>
            </m:sub>
          </m:sSub>
          <m:sSub>
            <m:sSubPr>
              <m:ctrlPr>
                <w:rPr>
                  <w:rFonts w:ascii="Cambria Math" w:hAnsi="Cambria Math"/>
                  <w:i/>
                </w:rPr>
              </m:ctrlPr>
            </m:sSubPr>
            <m:e>
              <m:r>
                <w:rPr>
                  <w:rFonts w:ascii="Cambria Math" w:hAnsi="Cambria Math"/>
                </w:rPr>
                <m:t>UNEMP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54</m:t>
              </m:r>
            </m:sub>
          </m:sSub>
          <m:sSub>
            <m:sSubPr>
              <m:ctrlPr>
                <w:rPr>
                  <w:rFonts w:ascii="Cambria Math" w:hAnsi="Cambria Math"/>
                  <w:i/>
                </w:rPr>
              </m:ctrlPr>
            </m:sSubPr>
            <m:e>
              <m:r>
                <w:rPr>
                  <w:rFonts w:ascii="Cambria Math" w:hAnsi="Cambria Math"/>
                </w:rPr>
                <m:t>GOV</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55</m:t>
              </m:r>
            </m:sub>
          </m:sSub>
          <m:sSub>
            <m:sSubPr>
              <m:ctrlPr>
                <w:rPr>
                  <w:rFonts w:ascii="Cambria Math" w:hAnsi="Cambria Math"/>
                  <w:i/>
                </w:rPr>
              </m:ctrlPr>
            </m:sSubPr>
            <m:e>
              <m:r>
                <w:rPr>
                  <w:rFonts w:ascii="Cambria Math" w:hAnsi="Cambria Math"/>
                </w:rPr>
                <m:t>BIRATE</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56</m:t>
              </m:r>
            </m:sub>
          </m:sSub>
          <m:sSub>
            <m:sSubPr>
              <m:ctrlPr>
                <w:rPr>
                  <w:rFonts w:ascii="Cambria Math" w:hAnsi="Cambria Math"/>
                  <w:i/>
                </w:rPr>
              </m:ctrlPr>
            </m:sSubPr>
            <m:e>
              <m:r>
                <w:rPr>
                  <w:rFonts w:ascii="Cambria Math" w:hAnsi="Cambria Math"/>
                </w:rPr>
                <m:t>GDP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5</m:t>
              </m:r>
            </m:sub>
          </m:sSub>
          <m:r>
            <w:rPr>
              <w:rFonts w:ascii="Cambria Math" w:hAnsi="Cambria Math"/>
            </w:rPr>
            <m:t xml:space="preserve">                                                                                                                    </m:t>
          </m:r>
          <m:d>
            <m:dPr>
              <m:ctrlPr>
                <w:rPr>
                  <w:rFonts w:ascii="Cambria Math" w:hAnsi="Cambria Math"/>
                  <w:i/>
                </w:rPr>
              </m:ctrlPr>
            </m:dPr>
            <m:e>
              <m:r>
                <w:rPr>
                  <w:rFonts w:ascii="Cambria Math" w:hAnsi="Cambria Math"/>
                </w:rPr>
                <m:t>5</m:t>
              </m:r>
            </m:e>
          </m:d>
        </m:oMath>
      </m:oMathPara>
    </w:p>
    <w:p w14:paraId="4E565AF8" w14:textId="5324DCB8" w:rsidR="00DD4AFD" w:rsidRPr="00DD4AFD" w:rsidRDefault="009F76FA" w:rsidP="007D6E11">
      <w:pPr>
        <w:spacing w:after="0" w:line="240" w:lineRule="auto"/>
        <w:jc w:val="both"/>
      </w:pPr>
      <m:oMathPara>
        <m:oMathParaPr>
          <m:jc m:val="left"/>
        </m:oMathParaPr>
        <m:oMath>
          <m:sSub>
            <m:sSubPr>
              <m:ctrlPr>
                <w:rPr>
                  <w:rFonts w:ascii="Cambria Math" w:hAnsi="Cambria Math"/>
                  <w:i/>
                </w:rPr>
              </m:ctrlPr>
            </m:sSubPr>
            <m:e>
              <m:r>
                <w:rPr>
                  <w:rFonts w:ascii="Cambria Math" w:hAnsi="Cambria Math"/>
                </w:rPr>
                <m:t>TAX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60</m:t>
              </m:r>
            </m:sub>
          </m:sSub>
          <m:sSub>
            <m:sSubPr>
              <m:ctrlPr>
                <w:rPr>
                  <w:rFonts w:ascii="Cambria Math" w:hAnsi="Cambria Math"/>
                  <w:i/>
                </w:rPr>
              </m:ctrlPr>
            </m:sSubPr>
            <m:e>
              <m:r>
                <w:rPr>
                  <w:rFonts w:ascii="Cambria Math" w:hAnsi="Cambria Math"/>
                </w:rPr>
                <m:t>EXR</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61</m:t>
              </m:r>
            </m:sub>
          </m:sSub>
          <m:sSub>
            <m:sSubPr>
              <m:ctrlPr>
                <w:rPr>
                  <w:rFonts w:ascii="Cambria Math" w:hAnsi="Cambria Math"/>
                  <w:i/>
                </w:rPr>
              </m:ctrlPr>
            </m:sSubPr>
            <m:e>
              <m:r>
                <w:rPr>
                  <w:rFonts w:ascii="Cambria Math" w:hAnsi="Cambria Math"/>
                </w:rPr>
                <m:t>INF</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62</m:t>
              </m:r>
            </m:sub>
          </m:sSub>
          <m:sSub>
            <m:sSubPr>
              <m:ctrlPr>
                <w:rPr>
                  <w:rFonts w:ascii="Cambria Math" w:hAnsi="Cambria Math"/>
                  <w:i/>
                </w:rPr>
              </m:ctrlPr>
            </m:sSubPr>
            <m:e>
              <m:r>
                <w:rPr>
                  <w:rFonts w:ascii="Cambria Math" w:hAnsi="Cambria Math"/>
                </w:rPr>
                <m:t>UNEMP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63</m:t>
              </m:r>
            </m:sub>
          </m:sSub>
          <m:sSub>
            <m:sSubPr>
              <m:ctrlPr>
                <w:rPr>
                  <w:rFonts w:ascii="Cambria Math" w:hAnsi="Cambria Math"/>
                  <w:i/>
                </w:rPr>
              </m:ctrlPr>
            </m:sSubPr>
            <m:e>
              <m:r>
                <w:rPr>
                  <w:rFonts w:ascii="Cambria Math" w:hAnsi="Cambria Math"/>
                </w:rPr>
                <m:t>GOV</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64</m:t>
              </m:r>
            </m:sub>
          </m:sSub>
          <m:sSub>
            <m:sSubPr>
              <m:ctrlPr>
                <w:rPr>
                  <w:rFonts w:ascii="Cambria Math" w:hAnsi="Cambria Math"/>
                  <w:i/>
                </w:rPr>
              </m:ctrlPr>
            </m:sSubPr>
            <m:e>
              <m:r>
                <w:rPr>
                  <w:rFonts w:ascii="Cambria Math" w:hAnsi="Cambria Math"/>
                </w:rPr>
                <m:t>BIRATE</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65</m:t>
              </m:r>
            </m:sub>
          </m:sSub>
          <m:sSub>
            <m:sSubPr>
              <m:ctrlPr>
                <w:rPr>
                  <w:rFonts w:ascii="Cambria Math" w:hAnsi="Cambria Math"/>
                  <w:i/>
                </w:rPr>
              </m:ctrlPr>
            </m:sSubPr>
            <m:e>
              <m:r>
                <w:rPr>
                  <w:rFonts w:ascii="Cambria Math" w:hAnsi="Cambria Math"/>
                </w:rPr>
                <m:t>GDP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66</m:t>
              </m:r>
            </m:sub>
          </m:sSub>
          <m:sSub>
            <m:sSubPr>
              <m:ctrlPr>
                <w:rPr>
                  <w:rFonts w:ascii="Cambria Math" w:hAnsi="Cambria Math"/>
                  <w:i/>
                </w:rPr>
              </m:ctrlPr>
            </m:sSubPr>
            <m:e>
              <m:r>
                <w:rPr>
                  <w:rFonts w:ascii="Cambria Math" w:hAnsi="Cambria Math"/>
                </w:rPr>
                <m:t>TAX</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6</m:t>
              </m:r>
            </m:sub>
          </m:sSub>
          <m:r>
            <w:rPr>
              <w:rFonts w:ascii="Cambria Math" w:hAnsi="Cambria Math"/>
            </w:rPr>
            <m:t xml:space="preserve">                                                                                                                    </m:t>
          </m:r>
          <m:d>
            <m:dPr>
              <m:ctrlPr>
                <w:rPr>
                  <w:rFonts w:ascii="Cambria Math" w:hAnsi="Cambria Math"/>
                  <w:i/>
                </w:rPr>
              </m:ctrlPr>
            </m:dPr>
            <m:e>
              <m:r>
                <w:rPr>
                  <w:rFonts w:ascii="Cambria Math" w:hAnsi="Cambria Math"/>
                </w:rPr>
                <m:t>6</m:t>
              </m:r>
            </m:e>
          </m:d>
        </m:oMath>
      </m:oMathPara>
    </w:p>
    <w:p w14:paraId="7EFA07B1" w14:textId="3CF4117A" w:rsidR="00DD4AFD" w:rsidRPr="00DD4AFD" w:rsidRDefault="009F76FA" w:rsidP="007D6E11">
      <w:pPr>
        <w:spacing w:after="0" w:line="240" w:lineRule="auto"/>
        <w:jc w:val="both"/>
      </w:pPr>
      <m:oMathPara>
        <m:oMathParaPr>
          <m:jc m:val="left"/>
        </m:oMathParaPr>
        <m:oMath>
          <m:sSub>
            <m:sSubPr>
              <m:ctrlPr>
                <w:rPr>
                  <w:rFonts w:ascii="Cambria Math" w:hAnsi="Cambria Math"/>
                  <w:i/>
                </w:rPr>
              </m:ctrlPr>
            </m:sSubPr>
            <m:e>
              <m:r>
                <w:rPr>
                  <w:rFonts w:ascii="Cambria Math" w:hAnsi="Cambria Math"/>
                </w:rPr>
                <m:t>EXR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70</m:t>
              </m:r>
            </m:sub>
          </m:sSub>
          <m:sSub>
            <m:sSubPr>
              <m:ctrlPr>
                <w:rPr>
                  <w:rFonts w:ascii="Cambria Math" w:hAnsi="Cambria Math"/>
                  <w:i/>
                </w:rPr>
              </m:ctrlPr>
            </m:sSubPr>
            <m:e>
              <m:r>
                <w:rPr>
                  <w:rFonts w:ascii="Cambria Math" w:hAnsi="Cambria Math"/>
                </w:rPr>
                <m:t>INF</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71</m:t>
              </m:r>
            </m:sub>
          </m:sSub>
          <m:sSub>
            <m:sSubPr>
              <m:ctrlPr>
                <w:rPr>
                  <w:rFonts w:ascii="Cambria Math" w:hAnsi="Cambria Math"/>
                  <w:i/>
                </w:rPr>
              </m:ctrlPr>
            </m:sSubPr>
            <m:e>
              <m:r>
                <w:rPr>
                  <w:rFonts w:ascii="Cambria Math" w:hAnsi="Cambria Math"/>
                </w:rPr>
                <m:t>UNEMP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72</m:t>
              </m:r>
            </m:sub>
          </m:sSub>
          <m:sSub>
            <m:sSubPr>
              <m:ctrlPr>
                <w:rPr>
                  <w:rFonts w:ascii="Cambria Math" w:hAnsi="Cambria Math"/>
                  <w:i/>
                </w:rPr>
              </m:ctrlPr>
            </m:sSubPr>
            <m:e>
              <m:r>
                <w:rPr>
                  <w:rFonts w:ascii="Cambria Math" w:hAnsi="Cambria Math"/>
                </w:rPr>
                <m:t>GOV</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73</m:t>
              </m:r>
            </m:sub>
          </m:sSub>
          <m:sSub>
            <m:sSubPr>
              <m:ctrlPr>
                <w:rPr>
                  <w:rFonts w:ascii="Cambria Math" w:hAnsi="Cambria Math"/>
                  <w:i/>
                </w:rPr>
              </m:ctrlPr>
            </m:sSubPr>
            <m:e>
              <m:r>
                <w:rPr>
                  <w:rFonts w:ascii="Cambria Math" w:hAnsi="Cambria Math"/>
                </w:rPr>
                <m:t>BIRATE</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74</m:t>
              </m:r>
            </m:sub>
          </m:sSub>
          <m:sSub>
            <m:sSubPr>
              <m:ctrlPr>
                <w:rPr>
                  <w:rFonts w:ascii="Cambria Math" w:hAnsi="Cambria Math"/>
                  <w:i/>
                </w:rPr>
              </m:ctrlPr>
            </m:sSubPr>
            <m:e>
              <m:r>
                <w:rPr>
                  <w:rFonts w:ascii="Cambria Math" w:hAnsi="Cambria Math"/>
                </w:rPr>
                <m:t>GDP</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75</m:t>
              </m:r>
            </m:sub>
          </m:sSub>
          <m:sSub>
            <m:sSubPr>
              <m:ctrlPr>
                <w:rPr>
                  <w:rFonts w:ascii="Cambria Math" w:hAnsi="Cambria Math"/>
                  <w:i/>
                </w:rPr>
              </m:ctrlPr>
            </m:sSubPr>
            <m:e>
              <m:r>
                <w:rPr>
                  <w:rFonts w:ascii="Cambria Math" w:hAnsi="Cambria Math"/>
                </w:rPr>
                <m:t>TAX</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76</m:t>
              </m:r>
            </m:sub>
          </m:sSub>
          <m:sSub>
            <m:sSubPr>
              <m:ctrlPr>
                <w:rPr>
                  <w:rFonts w:ascii="Cambria Math" w:hAnsi="Cambria Math"/>
                  <w:i/>
                </w:rPr>
              </m:ctrlPr>
            </m:sSubPr>
            <m:e>
              <m:r>
                <w:rPr>
                  <w:rFonts w:ascii="Cambria Math" w:hAnsi="Cambria Math"/>
                </w:rPr>
                <m:t>EXR</m:t>
              </m:r>
            </m:e>
            <m:sub>
              <m:r>
                <w:rPr>
                  <w:rFonts w:ascii="Cambria Math" w:hAnsi="Cambria Math"/>
                </w:rPr>
                <m:t>t-p</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7</m:t>
              </m:r>
            </m:sub>
          </m:sSub>
          <m:r>
            <w:rPr>
              <w:rFonts w:ascii="Cambria Math" w:hAnsi="Cambria Math"/>
            </w:rPr>
            <m:t xml:space="preserve">                                                                                                                   (7)</m:t>
          </m:r>
        </m:oMath>
      </m:oMathPara>
    </w:p>
    <w:p w14:paraId="38D2AF52" w14:textId="509F5DED" w:rsidR="001A6A3C" w:rsidRPr="00862ADC" w:rsidRDefault="001A6A3C" w:rsidP="00305BBA">
      <w:pPr>
        <w:tabs>
          <w:tab w:val="left" w:pos="810"/>
        </w:tabs>
        <w:spacing w:after="0" w:line="240" w:lineRule="auto"/>
        <w:ind w:right="-187"/>
        <w:rPr>
          <w:sz w:val="20"/>
          <w:szCs w:val="20"/>
        </w:rPr>
      </w:pPr>
    </w:p>
    <w:p w14:paraId="0A8BF825" w14:textId="43D17CA2" w:rsidR="007D6E11" w:rsidRPr="007D6E11" w:rsidRDefault="007D6E11" w:rsidP="007D6E11">
      <w:pPr>
        <w:tabs>
          <w:tab w:val="left" w:pos="1134"/>
          <w:tab w:val="left" w:pos="1418"/>
        </w:tabs>
        <w:spacing w:after="0" w:line="240" w:lineRule="auto"/>
        <w:ind w:right="-187"/>
      </w:pPr>
      <w:proofErr w:type="gramStart"/>
      <w:r w:rsidRPr="007D6E11">
        <w:t>Keterangan :</w:t>
      </w:r>
      <w:proofErr w:type="gramEnd"/>
    </w:p>
    <w:p w14:paraId="34A222E9" w14:textId="4BFC6AD9" w:rsidR="007D6E11" w:rsidRDefault="001500E2" w:rsidP="007D6E11">
      <w:pPr>
        <w:tabs>
          <w:tab w:val="left" w:pos="1134"/>
          <w:tab w:val="left" w:pos="1418"/>
        </w:tabs>
        <w:spacing w:after="0" w:line="240" w:lineRule="auto"/>
        <w:ind w:right="-187"/>
      </w:pPr>
      <w:r>
        <w:rPr>
          <w:color w:val="000000" w:themeColor="text1"/>
        </w:rPr>
        <w:t>INF</w:t>
      </w:r>
      <w:r w:rsidR="007D6E11" w:rsidRPr="007D6E11">
        <w:rPr>
          <w:color w:val="000000" w:themeColor="text1"/>
        </w:rPr>
        <w:t xml:space="preserve"> </w:t>
      </w:r>
      <w:r w:rsidR="007D6E11">
        <w:rPr>
          <w:color w:val="000000" w:themeColor="text1"/>
        </w:rPr>
        <w:tab/>
      </w:r>
      <w:r w:rsidR="007D6E11" w:rsidRPr="007D6E11">
        <w:rPr>
          <w:color w:val="000000" w:themeColor="text1"/>
        </w:rPr>
        <w:t xml:space="preserve">= </w:t>
      </w:r>
      <w:r w:rsidR="00312715" w:rsidRPr="00312715">
        <w:rPr>
          <w:color w:val="000000" w:themeColor="text1"/>
        </w:rPr>
        <w:t xml:space="preserve">Tingkat inflasi berdasarkan Indeks Harga Konsumen </w:t>
      </w:r>
      <w:r w:rsidR="007D6E11" w:rsidRPr="007D6E11">
        <w:rPr>
          <w:color w:val="000000" w:themeColor="text1"/>
        </w:rPr>
        <w:t>(</w:t>
      </w:r>
      <w:r w:rsidR="00312715" w:rsidRPr="00312715">
        <w:rPr>
          <w:color w:val="000000" w:themeColor="text1"/>
        </w:rPr>
        <w:t>Persen %</w:t>
      </w:r>
      <w:r w:rsidR="007D6E11" w:rsidRPr="007D6E11">
        <w:rPr>
          <w:color w:val="000000" w:themeColor="text1"/>
        </w:rPr>
        <w:t>)</w:t>
      </w:r>
    </w:p>
    <w:p w14:paraId="4E4F8C88" w14:textId="148D33A1" w:rsidR="007D6E11" w:rsidRPr="007D6E11" w:rsidRDefault="001500E2" w:rsidP="007D6E11">
      <w:pPr>
        <w:tabs>
          <w:tab w:val="left" w:pos="1134"/>
          <w:tab w:val="left" w:pos="1418"/>
        </w:tabs>
        <w:spacing w:after="0" w:line="240" w:lineRule="auto"/>
        <w:ind w:right="-187"/>
      </w:pPr>
      <w:r>
        <w:rPr>
          <w:color w:val="000000" w:themeColor="text1"/>
        </w:rPr>
        <w:t>UNEMP</w:t>
      </w:r>
      <w:r w:rsidR="007D6E11" w:rsidRPr="007D6E11">
        <w:rPr>
          <w:color w:val="000000" w:themeColor="text1"/>
        </w:rPr>
        <w:t xml:space="preserve">   </w:t>
      </w:r>
      <w:r w:rsidR="007D6E11">
        <w:rPr>
          <w:color w:val="000000" w:themeColor="text1"/>
        </w:rPr>
        <w:tab/>
      </w:r>
      <w:r w:rsidR="007D6E11" w:rsidRPr="007D6E11">
        <w:rPr>
          <w:color w:val="000000" w:themeColor="text1"/>
        </w:rPr>
        <w:t xml:space="preserve">= </w:t>
      </w:r>
      <w:r w:rsidR="00312715" w:rsidRPr="00312715">
        <w:rPr>
          <w:color w:val="000000" w:themeColor="text1"/>
        </w:rPr>
        <w:t>Tingkat Pengangguran Terbuka</w:t>
      </w:r>
      <w:r w:rsidR="007D6E11" w:rsidRPr="007D6E11">
        <w:rPr>
          <w:color w:val="000000" w:themeColor="text1"/>
        </w:rPr>
        <w:t xml:space="preserve"> (</w:t>
      </w:r>
      <w:r w:rsidR="00312715" w:rsidRPr="00312715">
        <w:rPr>
          <w:color w:val="000000" w:themeColor="text1"/>
        </w:rPr>
        <w:t>Persen %)</w:t>
      </w:r>
    </w:p>
    <w:p w14:paraId="5CCF15F8" w14:textId="53B965C7" w:rsidR="007D6E11" w:rsidRPr="007D6E11" w:rsidRDefault="001500E2" w:rsidP="007D6E11">
      <w:pPr>
        <w:tabs>
          <w:tab w:val="left" w:pos="1134"/>
          <w:tab w:val="left" w:pos="1418"/>
        </w:tabs>
        <w:spacing w:after="0" w:line="240" w:lineRule="auto"/>
        <w:ind w:right="-187"/>
        <w:rPr>
          <w:color w:val="000000" w:themeColor="text1"/>
        </w:rPr>
      </w:pPr>
      <w:r>
        <w:rPr>
          <w:color w:val="000000" w:themeColor="text1"/>
        </w:rPr>
        <w:t>BI RATE</w:t>
      </w:r>
      <w:r w:rsidR="007D6E11" w:rsidRPr="007D6E11">
        <w:rPr>
          <w:color w:val="000000" w:themeColor="text1"/>
        </w:rPr>
        <w:t xml:space="preserve">   </w:t>
      </w:r>
      <w:r w:rsidR="007D6E11">
        <w:rPr>
          <w:color w:val="000000" w:themeColor="text1"/>
        </w:rPr>
        <w:tab/>
      </w:r>
      <w:r w:rsidR="007D6E11" w:rsidRPr="007D6E11">
        <w:rPr>
          <w:color w:val="000000" w:themeColor="text1"/>
        </w:rPr>
        <w:t xml:space="preserve">= </w:t>
      </w:r>
      <w:r w:rsidR="00312715" w:rsidRPr="00312715">
        <w:rPr>
          <w:color w:val="000000" w:themeColor="text1"/>
        </w:rPr>
        <w:t>Suku bunga kebijakan Bank Indonesia (</w:t>
      </w:r>
      <w:r w:rsidR="00312715" w:rsidRPr="00312715">
        <w:rPr>
          <w:i/>
          <w:iCs/>
          <w:color w:val="000000" w:themeColor="text1"/>
        </w:rPr>
        <w:t>policy rate</w:t>
      </w:r>
      <w:r w:rsidR="00312715" w:rsidRPr="00312715">
        <w:rPr>
          <w:color w:val="000000" w:themeColor="text1"/>
        </w:rPr>
        <w:t>)</w:t>
      </w:r>
      <w:r w:rsidR="007D6E11" w:rsidRPr="007D6E11">
        <w:rPr>
          <w:color w:val="000000" w:themeColor="text1"/>
        </w:rPr>
        <w:t xml:space="preserve"> </w:t>
      </w:r>
      <w:r w:rsidR="00312715" w:rsidRPr="007D6E11">
        <w:rPr>
          <w:color w:val="000000" w:themeColor="text1"/>
        </w:rPr>
        <w:t>(</w:t>
      </w:r>
      <w:r w:rsidR="00312715" w:rsidRPr="00312715">
        <w:rPr>
          <w:color w:val="000000" w:themeColor="text1"/>
        </w:rPr>
        <w:t>Persen %)</w:t>
      </w:r>
    </w:p>
    <w:p w14:paraId="0F8ABFC3" w14:textId="1C2E1295" w:rsidR="007D6E11" w:rsidRPr="007D6E11" w:rsidRDefault="001500E2" w:rsidP="007D6E11">
      <w:pPr>
        <w:tabs>
          <w:tab w:val="left" w:pos="1134"/>
          <w:tab w:val="left" w:pos="1418"/>
        </w:tabs>
        <w:spacing w:after="0" w:line="240" w:lineRule="auto"/>
        <w:ind w:right="-187"/>
        <w:rPr>
          <w:color w:val="000000" w:themeColor="text1"/>
        </w:rPr>
      </w:pPr>
      <w:r>
        <w:rPr>
          <w:color w:val="000000" w:themeColor="text1"/>
        </w:rPr>
        <w:t>GOV</w:t>
      </w:r>
      <w:r w:rsidR="007D6E11" w:rsidRPr="007D6E11">
        <w:rPr>
          <w:color w:val="000000" w:themeColor="text1"/>
        </w:rPr>
        <w:t xml:space="preserve">     </w:t>
      </w:r>
      <w:r w:rsidR="007D6E11">
        <w:rPr>
          <w:color w:val="000000" w:themeColor="text1"/>
        </w:rPr>
        <w:tab/>
      </w:r>
      <w:r w:rsidR="007D6E11" w:rsidRPr="007D6E11">
        <w:rPr>
          <w:color w:val="000000" w:themeColor="text1"/>
        </w:rPr>
        <w:t xml:space="preserve">= </w:t>
      </w:r>
      <w:r w:rsidR="00312715" w:rsidRPr="00312715">
        <w:rPr>
          <w:color w:val="000000" w:themeColor="text1"/>
        </w:rPr>
        <w:t xml:space="preserve">Realisasi total belanja negara </w:t>
      </w:r>
      <w:r w:rsidR="007D6E11" w:rsidRPr="007D6E11">
        <w:rPr>
          <w:color w:val="000000" w:themeColor="text1"/>
        </w:rPr>
        <w:t>(Triliun Rp)</w:t>
      </w:r>
    </w:p>
    <w:p w14:paraId="58EB4832" w14:textId="7683F1E0" w:rsidR="007D6E11" w:rsidRPr="007D6E11" w:rsidRDefault="001500E2" w:rsidP="007D6E11">
      <w:pPr>
        <w:tabs>
          <w:tab w:val="left" w:pos="1134"/>
          <w:tab w:val="left" w:pos="1418"/>
        </w:tabs>
        <w:spacing w:after="0" w:line="240" w:lineRule="auto"/>
        <w:ind w:right="-187"/>
        <w:rPr>
          <w:color w:val="000000" w:themeColor="text1"/>
        </w:rPr>
      </w:pPr>
      <w:r>
        <w:rPr>
          <w:color w:val="000000" w:themeColor="text1"/>
        </w:rPr>
        <w:t>TAX</w:t>
      </w:r>
      <w:r w:rsidR="007D6E11" w:rsidRPr="007D6E11">
        <w:rPr>
          <w:color w:val="000000" w:themeColor="text1"/>
        </w:rPr>
        <w:t xml:space="preserve">     </w:t>
      </w:r>
      <w:r w:rsidR="007D6E11">
        <w:rPr>
          <w:color w:val="000000" w:themeColor="text1"/>
        </w:rPr>
        <w:tab/>
      </w:r>
      <w:r w:rsidR="007D6E11" w:rsidRPr="007D6E11">
        <w:rPr>
          <w:color w:val="000000" w:themeColor="text1"/>
        </w:rPr>
        <w:t xml:space="preserve">= </w:t>
      </w:r>
      <w:r w:rsidR="00312715" w:rsidRPr="00312715">
        <w:rPr>
          <w:color w:val="000000" w:themeColor="text1"/>
        </w:rPr>
        <w:t xml:space="preserve">Realisasi total penerimaan pajak negara </w:t>
      </w:r>
      <w:r w:rsidR="007D6E11" w:rsidRPr="007D6E11">
        <w:rPr>
          <w:color w:val="000000" w:themeColor="text1"/>
        </w:rPr>
        <w:t>(</w:t>
      </w:r>
      <w:r w:rsidR="00312715" w:rsidRPr="007D6E11">
        <w:rPr>
          <w:color w:val="000000" w:themeColor="text1"/>
        </w:rPr>
        <w:t>Triliun Rp</w:t>
      </w:r>
      <w:r w:rsidR="007D6E11" w:rsidRPr="007D6E11">
        <w:rPr>
          <w:color w:val="000000" w:themeColor="text1"/>
        </w:rPr>
        <w:t>)</w:t>
      </w:r>
    </w:p>
    <w:p w14:paraId="553D9462" w14:textId="504C9212" w:rsidR="007D6E11" w:rsidRDefault="001500E2" w:rsidP="007D6E11">
      <w:pPr>
        <w:tabs>
          <w:tab w:val="left" w:pos="1134"/>
          <w:tab w:val="left" w:pos="1418"/>
        </w:tabs>
        <w:spacing w:after="0" w:line="240" w:lineRule="auto"/>
        <w:ind w:right="-187"/>
        <w:rPr>
          <w:color w:val="000000" w:themeColor="text1"/>
        </w:rPr>
      </w:pPr>
      <w:r>
        <w:rPr>
          <w:color w:val="000000" w:themeColor="text1"/>
        </w:rPr>
        <w:t>GDP</w:t>
      </w:r>
      <w:r w:rsidR="007D6E11" w:rsidRPr="007D6E11">
        <w:rPr>
          <w:color w:val="000000" w:themeColor="text1"/>
        </w:rPr>
        <w:t xml:space="preserve">  </w:t>
      </w:r>
      <w:r w:rsidR="007D6E11">
        <w:rPr>
          <w:color w:val="000000" w:themeColor="text1"/>
        </w:rPr>
        <w:tab/>
      </w:r>
      <w:r w:rsidR="007D6E11" w:rsidRPr="007D6E11">
        <w:rPr>
          <w:color w:val="000000" w:themeColor="text1"/>
        </w:rPr>
        <w:t xml:space="preserve">= </w:t>
      </w:r>
      <w:r w:rsidR="00312715" w:rsidRPr="00312715">
        <w:rPr>
          <w:color w:val="000000" w:themeColor="text1"/>
        </w:rPr>
        <w:t xml:space="preserve">PDB riil Indonesia (ADHK) </w:t>
      </w:r>
      <w:r w:rsidR="007D6E11" w:rsidRPr="007D6E11">
        <w:rPr>
          <w:color w:val="000000" w:themeColor="text1"/>
        </w:rPr>
        <w:t>(</w:t>
      </w:r>
      <w:r w:rsidR="00312715" w:rsidRPr="007D6E11">
        <w:rPr>
          <w:color w:val="000000" w:themeColor="text1"/>
        </w:rPr>
        <w:t>Triliun Rp</w:t>
      </w:r>
      <w:r w:rsidR="007D6E11" w:rsidRPr="007D6E11">
        <w:rPr>
          <w:color w:val="000000" w:themeColor="text1"/>
        </w:rPr>
        <w:t>)</w:t>
      </w:r>
    </w:p>
    <w:p w14:paraId="480B3191" w14:textId="07840A5D" w:rsidR="001500E2" w:rsidRPr="007D6E11" w:rsidRDefault="001500E2" w:rsidP="007D6E11">
      <w:pPr>
        <w:tabs>
          <w:tab w:val="left" w:pos="1134"/>
          <w:tab w:val="left" w:pos="1418"/>
        </w:tabs>
        <w:spacing w:after="0" w:line="240" w:lineRule="auto"/>
        <w:ind w:right="-187"/>
        <w:rPr>
          <w:color w:val="000000" w:themeColor="text1"/>
        </w:rPr>
      </w:pPr>
      <w:r>
        <w:rPr>
          <w:color w:val="000000" w:themeColor="text1"/>
        </w:rPr>
        <w:t>EXR</w:t>
      </w:r>
      <w:r>
        <w:rPr>
          <w:color w:val="000000" w:themeColor="text1"/>
        </w:rPr>
        <w:tab/>
        <w:t xml:space="preserve">= </w:t>
      </w:r>
      <w:r w:rsidR="00312715" w:rsidRPr="00312715">
        <w:rPr>
          <w:color w:val="000000" w:themeColor="text1"/>
        </w:rPr>
        <w:t>Nilai tukar rupiah terhadap dolar AS (IDR/USD)</w:t>
      </w:r>
    </w:p>
    <w:p w14:paraId="19E44729" w14:textId="77777777" w:rsidR="007D6E11" w:rsidRDefault="007D6E11" w:rsidP="007D6E11">
      <w:pPr>
        <w:tabs>
          <w:tab w:val="left" w:pos="1134"/>
          <w:tab w:val="left" w:pos="1418"/>
        </w:tabs>
        <w:spacing w:after="0" w:line="240" w:lineRule="auto"/>
        <w:ind w:right="-187"/>
        <w:rPr>
          <w:color w:val="000000" w:themeColor="text1"/>
        </w:rPr>
      </w:pPr>
      <w:proofErr w:type="gramStart"/>
      <w:r w:rsidRPr="007D6E11">
        <w:rPr>
          <w:color w:val="000000" w:themeColor="text1"/>
        </w:rPr>
        <w:t>Et</w:t>
      </w:r>
      <w:proofErr w:type="gramEnd"/>
      <w:r w:rsidRPr="007D6E11">
        <w:rPr>
          <w:color w:val="000000" w:themeColor="text1"/>
        </w:rPr>
        <w:t xml:space="preserve">       </w:t>
      </w:r>
      <w:r>
        <w:rPr>
          <w:color w:val="000000" w:themeColor="text1"/>
        </w:rPr>
        <w:tab/>
      </w:r>
      <w:r w:rsidRPr="007D6E11">
        <w:rPr>
          <w:color w:val="000000" w:themeColor="text1"/>
        </w:rPr>
        <w:t>= Guncangan Acak (</w:t>
      </w:r>
      <w:r w:rsidRPr="007D6E11">
        <w:rPr>
          <w:i/>
          <w:color w:val="000000" w:themeColor="text1"/>
        </w:rPr>
        <w:t>random disturbance</w:t>
      </w:r>
      <w:r w:rsidRPr="007D6E11">
        <w:rPr>
          <w:color w:val="000000" w:themeColor="text1"/>
        </w:rPr>
        <w:t>)</w:t>
      </w:r>
    </w:p>
    <w:p w14:paraId="06064DF0" w14:textId="658ABA72" w:rsidR="00467331" w:rsidRPr="00467331" w:rsidRDefault="007D6E11" w:rsidP="007D6E11">
      <w:pPr>
        <w:tabs>
          <w:tab w:val="left" w:pos="1134"/>
          <w:tab w:val="left" w:pos="1418"/>
        </w:tabs>
        <w:spacing w:after="0" w:line="240" w:lineRule="auto"/>
        <w:ind w:right="-187"/>
        <w:rPr>
          <w:color w:val="000000" w:themeColor="text1"/>
        </w:rPr>
      </w:pPr>
      <w:r w:rsidRPr="007D6E11">
        <w:rPr>
          <w:color w:val="000000" w:themeColor="text1"/>
        </w:rPr>
        <w:t xml:space="preserve">P      </w:t>
      </w:r>
      <w:r>
        <w:rPr>
          <w:color w:val="000000" w:themeColor="text1"/>
        </w:rPr>
        <w:tab/>
      </w:r>
      <w:r w:rsidRPr="007D6E11">
        <w:rPr>
          <w:color w:val="000000" w:themeColor="text1"/>
        </w:rPr>
        <w:t xml:space="preserve">= Panjang </w:t>
      </w:r>
      <w:r w:rsidRPr="007D6E11">
        <w:rPr>
          <w:i/>
          <w:color w:val="000000" w:themeColor="text1"/>
        </w:rPr>
        <w:t>lag</w:t>
      </w:r>
    </w:p>
    <w:p w14:paraId="0A3FE8A5" w14:textId="597F04F5" w:rsidR="00081C79" w:rsidRPr="007D6E11" w:rsidRDefault="00081C79" w:rsidP="007D6E11">
      <w:pPr>
        <w:pStyle w:val="HTMLPreformatted"/>
        <w:jc w:val="both"/>
        <w:rPr>
          <w:rFonts w:ascii="Times New Roman" w:hAnsi="Times New Roman"/>
          <w:color w:val="202124"/>
          <w:sz w:val="22"/>
          <w:szCs w:val="22"/>
        </w:rPr>
      </w:pPr>
    </w:p>
    <w:p w14:paraId="50CCC6CD" w14:textId="77777777" w:rsidR="00022A16" w:rsidRDefault="00022A16" w:rsidP="0069733F">
      <w:pPr>
        <w:spacing w:before="200" w:after="0"/>
        <w:jc w:val="both"/>
      </w:pPr>
      <w:r>
        <w:rPr>
          <w:b/>
        </w:rPr>
        <w:t>HASIL DAN PEMBAHASAN</w:t>
      </w:r>
    </w:p>
    <w:p w14:paraId="5AF37D8A" w14:textId="01A43440" w:rsidR="00081C79" w:rsidRDefault="006112F7" w:rsidP="00081C79">
      <w:pPr>
        <w:pStyle w:val="HTMLPreformatted"/>
        <w:jc w:val="both"/>
        <w:rPr>
          <w:rFonts w:ascii="Times New Roman" w:hAnsi="Times New Roman"/>
          <w:color w:val="202124"/>
          <w:sz w:val="22"/>
          <w:szCs w:val="22"/>
        </w:rPr>
      </w:pPr>
      <w:r>
        <w:rPr>
          <w:rFonts w:ascii="Times New Roman" w:hAnsi="Times New Roman"/>
          <w:color w:val="202124"/>
          <w:sz w:val="22"/>
          <w:szCs w:val="22"/>
        </w:rPr>
        <w:t>Hasil</w:t>
      </w:r>
      <w:r w:rsidR="00C63496">
        <w:rPr>
          <w:rFonts w:ascii="Times New Roman" w:hAnsi="Times New Roman"/>
          <w:color w:val="202124"/>
          <w:sz w:val="22"/>
          <w:szCs w:val="22"/>
        </w:rPr>
        <w:t xml:space="preserve"> </w:t>
      </w:r>
      <w:r w:rsidRPr="006112F7">
        <w:rPr>
          <w:rFonts w:ascii="Times New Roman" w:hAnsi="Times New Roman"/>
          <w:color w:val="202124"/>
          <w:sz w:val="22"/>
          <w:szCs w:val="22"/>
        </w:rPr>
        <w:t xml:space="preserve">estimasi dan pembahasan model Vector Autoregression (VAR) yang digunakan untuk menganalisis dinamika interaksi kebijakan moneter dan fiskal serta pengaruhnya terhadap inflasi dan pengangguran di Indonesia. Analisis diawali dengan pengujian stasioneritas data menggunakan uji akar unit untuk memastikan validitas model VAR. Selanjutnya, dilakukan estimasi VAR dan pengujian kointegrasi Johansen guna mengidentifikasi adanya hubungan jangka panjang antarvariabel. Hubungan kausalitas antarvariabel dianalisis melalui uji kausalitas Granger, sementara kestabilan model diuji menggunakan uji stabilitas lag structure. Untuk menangkap dinamika respon variabel akibat guncangan kebijakan, analisis dilanjutkan dengan Impulse Response Function (IRF) dan Forecast Error Variance </w:t>
      </w:r>
      <w:r w:rsidRPr="00827347">
        <w:rPr>
          <w:rFonts w:ascii="Times New Roman" w:hAnsi="Times New Roman"/>
          <w:color w:val="202124"/>
          <w:sz w:val="22"/>
          <w:szCs w:val="22"/>
        </w:rPr>
        <w:t>Decomposition (FEVD), yang memberikan gambaran mengenai arah, besaran, dan kontribusi relatif masing-masing variabel dalam sistem VAR.</w:t>
      </w:r>
    </w:p>
    <w:p w14:paraId="7A7C95D1" w14:textId="77777777" w:rsidR="0072750F" w:rsidRPr="00827347" w:rsidRDefault="0072750F" w:rsidP="00081C79">
      <w:pPr>
        <w:pStyle w:val="HTMLPreformatted"/>
        <w:jc w:val="both"/>
        <w:rPr>
          <w:rFonts w:ascii="Times New Roman" w:hAnsi="Times New Roman"/>
          <w:color w:val="202124"/>
          <w:sz w:val="22"/>
          <w:szCs w:val="22"/>
        </w:rPr>
      </w:pPr>
    </w:p>
    <w:p w14:paraId="7302544A" w14:textId="77777777" w:rsidR="00E43253" w:rsidRDefault="00E43253">
      <w:pPr>
        <w:spacing w:after="0" w:line="240" w:lineRule="auto"/>
        <w:rPr>
          <w:rFonts w:eastAsia="Times New Roman"/>
          <w:b/>
          <w:color w:val="202124"/>
        </w:rPr>
      </w:pPr>
      <w:r>
        <w:rPr>
          <w:b/>
          <w:color w:val="202124"/>
        </w:rPr>
        <w:br w:type="page"/>
      </w:r>
    </w:p>
    <w:p w14:paraId="75CFC8F8" w14:textId="46ACECB9" w:rsidR="00827347" w:rsidRPr="00665287" w:rsidRDefault="00827347" w:rsidP="00E43253">
      <w:pPr>
        <w:pStyle w:val="HTMLPreformatted"/>
        <w:rPr>
          <w:rFonts w:ascii="Times New Roman" w:hAnsi="Times New Roman"/>
          <w:b/>
          <w:color w:val="202124"/>
          <w:sz w:val="22"/>
          <w:szCs w:val="22"/>
        </w:rPr>
      </w:pPr>
      <w:r w:rsidRPr="00665287">
        <w:rPr>
          <w:rFonts w:ascii="Times New Roman" w:hAnsi="Times New Roman"/>
          <w:b/>
          <w:color w:val="202124"/>
          <w:sz w:val="22"/>
          <w:szCs w:val="22"/>
        </w:rPr>
        <w:lastRenderedPageBreak/>
        <w:t>Uji Unit Root (ADF)</w:t>
      </w:r>
    </w:p>
    <w:p w14:paraId="2EA19EF4" w14:textId="0111BADC" w:rsidR="00827347" w:rsidRPr="00665287" w:rsidRDefault="00827347" w:rsidP="00E43253">
      <w:pPr>
        <w:pStyle w:val="HTMLPreformatted"/>
        <w:rPr>
          <w:rFonts w:ascii="Times New Roman" w:hAnsi="Times New Roman"/>
          <w:b/>
          <w:color w:val="202124"/>
          <w:sz w:val="22"/>
          <w:szCs w:val="22"/>
        </w:rPr>
      </w:pPr>
      <w:proofErr w:type="gramStart"/>
      <w:r w:rsidRPr="00665287">
        <w:rPr>
          <w:rFonts w:ascii="Times New Roman" w:hAnsi="Times New Roman"/>
          <w:b/>
          <w:color w:val="202124"/>
          <w:sz w:val="22"/>
          <w:szCs w:val="22"/>
        </w:rPr>
        <w:t xml:space="preserve">Tabel </w:t>
      </w:r>
      <w:r w:rsidR="003C3504" w:rsidRPr="00665287">
        <w:rPr>
          <w:rFonts w:ascii="Times New Roman" w:hAnsi="Times New Roman"/>
          <w:b/>
          <w:color w:val="202124"/>
          <w:sz w:val="22"/>
          <w:szCs w:val="22"/>
        </w:rPr>
        <w:t>1</w:t>
      </w:r>
      <w:r w:rsidR="00665287">
        <w:rPr>
          <w:rFonts w:ascii="Times New Roman" w:hAnsi="Times New Roman"/>
          <w:b/>
          <w:color w:val="202124"/>
          <w:sz w:val="22"/>
          <w:szCs w:val="22"/>
        </w:rPr>
        <w:t>.</w:t>
      </w:r>
      <w:proofErr w:type="gramEnd"/>
      <w:r w:rsidR="00665287">
        <w:rPr>
          <w:rFonts w:ascii="Times New Roman" w:hAnsi="Times New Roman"/>
          <w:b/>
          <w:color w:val="202124"/>
          <w:sz w:val="22"/>
          <w:szCs w:val="22"/>
        </w:rPr>
        <w:t xml:space="preserve"> </w:t>
      </w:r>
      <w:r w:rsidRPr="00665287">
        <w:rPr>
          <w:rFonts w:ascii="Times New Roman" w:hAnsi="Times New Roman"/>
          <w:b/>
          <w:color w:val="202124"/>
          <w:sz w:val="22"/>
          <w:szCs w:val="22"/>
        </w:rPr>
        <w:t>Ringkasan Hasil Uji Akar Unit (Augmented Dickey-Fuller)</w:t>
      </w:r>
    </w:p>
    <w:tbl>
      <w:tblPr>
        <w:tblStyle w:val="PlainTable3"/>
        <w:tblW w:w="0" w:type="auto"/>
        <w:tblLook w:val="04A0" w:firstRow="1" w:lastRow="0" w:firstColumn="1" w:lastColumn="0" w:noHBand="0" w:noVBand="1"/>
      </w:tblPr>
      <w:tblGrid>
        <w:gridCol w:w="1658"/>
        <w:gridCol w:w="1052"/>
        <w:gridCol w:w="1671"/>
        <w:gridCol w:w="1782"/>
        <w:gridCol w:w="1604"/>
        <w:gridCol w:w="1521"/>
      </w:tblGrid>
      <w:tr w:rsidR="00827347" w:rsidRPr="00E43253" w14:paraId="2CA7B585" w14:textId="77777777" w:rsidTr="00E432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double" w:sz="4" w:space="0" w:color="auto"/>
              <w:bottom w:val="double" w:sz="4" w:space="0" w:color="auto"/>
              <w:right w:val="none" w:sz="0" w:space="0" w:color="auto"/>
            </w:tcBorders>
            <w:hideMark/>
          </w:tcPr>
          <w:p w14:paraId="5D043C28" w14:textId="63AD6A33" w:rsidR="00827347" w:rsidRPr="00E43253" w:rsidRDefault="00E43253" w:rsidP="00827347">
            <w:pPr>
              <w:pStyle w:val="HTMLPreformatted"/>
              <w:ind w:left="360"/>
              <w:rPr>
                <w:rFonts w:ascii="Times New Roman" w:hAnsi="Times New Roman"/>
                <w:color w:val="202124"/>
                <w:sz w:val="22"/>
                <w:szCs w:val="22"/>
              </w:rPr>
            </w:pPr>
            <w:r w:rsidRPr="00E43253">
              <w:rPr>
                <w:rFonts w:ascii="Times New Roman" w:hAnsi="Times New Roman"/>
                <w:caps w:val="0"/>
                <w:color w:val="202124"/>
                <w:sz w:val="22"/>
                <w:szCs w:val="22"/>
              </w:rPr>
              <w:t>Variabel</w:t>
            </w:r>
          </w:p>
        </w:tc>
        <w:tc>
          <w:tcPr>
            <w:tcW w:w="0" w:type="auto"/>
            <w:tcBorders>
              <w:top w:val="double" w:sz="4" w:space="0" w:color="auto"/>
              <w:bottom w:val="double" w:sz="4" w:space="0" w:color="auto"/>
            </w:tcBorders>
            <w:hideMark/>
          </w:tcPr>
          <w:p w14:paraId="0684BD8D" w14:textId="5C9C8877" w:rsidR="00827347" w:rsidRPr="00E43253" w:rsidRDefault="00E43253" w:rsidP="00827347">
            <w:pPr>
              <w:pStyle w:val="HTMLPreformatted"/>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aps w:val="0"/>
                <w:color w:val="202124"/>
                <w:sz w:val="22"/>
                <w:szCs w:val="22"/>
              </w:rPr>
              <w:t>Level (Prob.)</w:t>
            </w:r>
          </w:p>
        </w:tc>
        <w:tc>
          <w:tcPr>
            <w:tcW w:w="0" w:type="auto"/>
            <w:tcBorders>
              <w:top w:val="double" w:sz="4" w:space="0" w:color="auto"/>
              <w:bottom w:val="double" w:sz="4" w:space="0" w:color="auto"/>
            </w:tcBorders>
            <w:hideMark/>
          </w:tcPr>
          <w:p w14:paraId="2D6876BB" w14:textId="45831C6C" w:rsidR="00827347" w:rsidRPr="00E43253" w:rsidRDefault="00E43253" w:rsidP="00827347">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aps w:val="0"/>
                <w:color w:val="202124"/>
                <w:sz w:val="22"/>
                <w:szCs w:val="22"/>
              </w:rPr>
              <w:t>Keputusan</w:t>
            </w:r>
          </w:p>
        </w:tc>
        <w:tc>
          <w:tcPr>
            <w:tcW w:w="0" w:type="auto"/>
            <w:tcBorders>
              <w:top w:val="double" w:sz="4" w:space="0" w:color="auto"/>
              <w:bottom w:val="double" w:sz="4" w:space="0" w:color="auto"/>
            </w:tcBorders>
            <w:hideMark/>
          </w:tcPr>
          <w:p w14:paraId="1B9FB9BB" w14:textId="0818E55F" w:rsidR="00827347" w:rsidRPr="00E43253" w:rsidRDefault="00E43253" w:rsidP="00827347">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aps w:val="0"/>
                <w:color w:val="202124"/>
                <w:sz w:val="22"/>
                <w:szCs w:val="22"/>
              </w:rPr>
              <w:t>First Difference (Prob.)</w:t>
            </w:r>
          </w:p>
        </w:tc>
        <w:tc>
          <w:tcPr>
            <w:tcW w:w="0" w:type="auto"/>
            <w:tcBorders>
              <w:top w:val="double" w:sz="4" w:space="0" w:color="auto"/>
              <w:bottom w:val="double" w:sz="4" w:space="0" w:color="auto"/>
            </w:tcBorders>
            <w:hideMark/>
          </w:tcPr>
          <w:p w14:paraId="59A4ED95" w14:textId="0A1B26B5" w:rsidR="00827347" w:rsidRPr="00E43253" w:rsidRDefault="00E43253" w:rsidP="00827347">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aps w:val="0"/>
                <w:color w:val="202124"/>
                <w:sz w:val="22"/>
                <w:szCs w:val="22"/>
              </w:rPr>
              <w:t>Keputusan</w:t>
            </w:r>
          </w:p>
        </w:tc>
        <w:tc>
          <w:tcPr>
            <w:tcW w:w="0" w:type="auto"/>
            <w:tcBorders>
              <w:top w:val="double" w:sz="4" w:space="0" w:color="auto"/>
              <w:bottom w:val="double" w:sz="4" w:space="0" w:color="auto"/>
            </w:tcBorders>
            <w:hideMark/>
          </w:tcPr>
          <w:p w14:paraId="273B653E" w14:textId="378B971B" w:rsidR="00827347" w:rsidRPr="00E43253" w:rsidRDefault="00E43253" w:rsidP="00827347">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aps w:val="0"/>
                <w:color w:val="202124"/>
                <w:sz w:val="22"/>
                <w:szCs w:val="22"/>
              </w:rPr>
              <w:t>Orde Integrasi</w:t>
            </w:r>
          </w:p>
        </w:tc>
      </w:tr>
      <w:tr w:rsidR="00827347" w:rsidRPr="00E43253" w14:paraId="45064CB7"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right w:val="none" w:sz="0" w:space="0" w:color="auto"/>
            </w:tcBorders>
            <w:shd w:val="clear" w:color="auto" w:fill="auto"/>
            <w:hideMark/>
          </w:tcPr>
          <w:p w14:paraId="38EB796C" w14:textId="43A3D146" w:rsidR="00827347" w:rsidRPr="00E43253" w:rsidRDefault="00E43253" w:rsidP="00827347">
            <w:pPr>
              <w:pStyle w:val="HTMLPreformatted"/>
              <w:jc w:val="both"/>
              <w:rPr>
                <w:rFonts w:ascii="Times New Roman" w:hAnsi="Times New Roman"/>
                <w:b w:val="0"/>
                <w:bCs w:val="0"/>
                <w:color w:val="202124"/>
                <w:sz w:val="22"/>
                <w:szCs w:val="22"/>
              </w:rPr>
            </w:pPr>
            <w:r w:rsidRPr="00E43253">
              <w:rPr>
                <w:rFonts w:ascii="Times New Roman" w:hAnsi="Times New Roman"/>
                <w:b w:val="0"/>
                <w:bCs w:val="0"/>
                <w:caps w:val="0"/>
                <w:color w:val="202124"/>
                <w:sz w:val="22"/>
                <w:szCs w:val="22"/>
              </w:rPr>
              <w:t>Inflasi</w:t>
            </w:r>
          </w:p>
        </w:tc>
        <w:tc>
          <w:tcPr>
            <w:tcW w:w="0" w:type="auto"/>
            <w:tcBorders>
              <w:top w:val="double" w:sz="4" w:space="0" w:color="auto"/>
            </w:tcBorders>
            <w:shd w:val="clear" w:color="auto" w:fill="auto"/>
            <w:hideMark/>
          </w:tcPr>
          <w:p w14:paraId="3C9DF05D" w14:textId="6550E93C"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&gt; 0,05</w:t>
            </w:r>
          </w:p>
        </w:tc>
        <w:tc>
          <w:tcPr>
            <w:tcW w:w="0" w:type="auto"/>
            <w:tcBorders>
              <w:top w:val="double" w:sz="4" w:space="0" w:color="auto"/>
            </w:tcBorders>
            <w:shd w:val="clear" w:color="auto" w:fill="auto"/>
            <w:hideMark/>
          </w:tcPr>
          <w:p w14:paraId="121AE83E" w14:textId="53392078"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Stasioner</w:t>
            </w:r>
          </w:p>
        </w:tc>
        <w:tc>
          <w:tcPr>
            <w:tcW w:w="0" w:type="auto"/>
            <w:tcBorders>
              <w:top w:val="double" w:sz="4" w:space="0" w:color="auto"/>
            </w:tcBorders>
            <w:shd w:val="clear" w:color="auto" w:fill="auto"/>
            <w:hideMark/>
          </w:tcPr>
          <w:p w14:paraId="2D4C5ECD" w14:textId="6C048508"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&lt; 0,05</w:t>
            </w:r>
          </w:p>
        </w:tc>
        <w:tc>
          <w:tcPr>
            <w:tcW w:w="0" w:type="auto"/>
            <w:tcBorders>
              <w:top w:val="double" w:sz="4" w:space="0" w:color="auto"/>
            </w:tcBorders>
            <w:shd w:val="clear" w:color="auto" w:fill="auto"/>
            <w:hideMark/>
          </w:tcPr>
          <w:p w14:paraId="65DDB4DD" w14:textId="678F65B3"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Stasioner</w:t>
            </w:r>
          </w:p>
        </w:tc>
        <w:tc>
          <w:tcPr>
            <w:tcW w:w="0" w:type="auto"/>
            <w:tcBorders>
              <w:top w:val="double" w:sz="4" w:space="0" w:color="auto"/>
            </w:tcBorders>
            <w:shd w:val="clear" w:color="auto" w:fill="auto"/>
            <w:hideMark/>
          </w:tcPr>
          <w:p w14:paraId="05706CB0" w14:textId="65693242"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I(1)</w:t>
            </w:r>
          </w:p>
        </w:tc>
      </w:tr>
      <w:tr w:rsidR="00827347" w:rsidRPr="00E43253" w14:paraId="35FA9416"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DB9EBD6" w14:textId="6ACB3C6B" w:rsidR="00827347" w:rsidRPr="00E43253" w:rsidRDefault="00E43253" w:rsidP="00827347">
            <w:pPr>
              <w:pStyle w:val="HTMLPreformatted"/>
              <w:jc w:val="both"/>
              <w:rPr>
                <w:rFonts w:ascii="Times New Roman" w:hAnsi="Times New Roman"/>
                <w:b w:val="0"/>
                <w:bCs w:val="0"/>
                <w:color w:val="202124"/>
                <w:sz w:val="22"/>
                <w:szCs w:val="22"/>
              </w:rPr>
            </w:pPr>
            <w:r w:rsidRPr="00E43253">
              <w:rPr>
                <w:rFonts w:ascii="Times New Roman" w:hAnsi="Times New Roman"/>
                <w:b w:val="0"/>
                <w:bCs w:val="0"/>
                <w:caps w:val="0"/>
                <w:color w:val="202124"/>
                <w:sz w:val="22"/>
                <w:szCs w:val="22"/>
              </w:rPr>
              <w:t>Pengangguran</w:t>
            </w:r>
          </w:p>
        </w:tc>
        <w:tc>
          <w:tcPr>
            <w:tcW w:w="0" w:type="auto"/>
            <w:hideMark/>
          </w:tcPr>
          <w:p w14:paraId="0099450A" w14:textId="67C84596"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&gt; 0,05</w:t>
            </w:r>
          </w:p>
        </w:tc>
        <w:tc>
          <w:tcPr>
            <w:tcW w:w="0" w:type="auto"/>
            <w:hideMark/>
          </w:tcPr>
          <w:p w14:paraId="12FA5160" w14:textId="09484C07"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Stasioner</w:t>
            </w:r>
          </w:p>
        </w:tc>
        <w:tc>
          <w:tcPr>
            <w:tcW w:w="0" w:type="auto"/>
            <w:hideMark/>
          </w:tcPr>
          <w:p w14:paraId="281080F5" w14:textId="5615ECE1"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&lt; 0,05</w:t>
            </w:r>
          </w:p>
        </w:tc>
        <w:tc>
          <w:tcPr>
            <w:tcW w:w="0" w:type="auto"/>
            <w:hideMark/>
          </w:tcPr>
          <w:p w14:paraId="1C2FF502" w14:textId="3DB5A792"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Stasioner</w:t>
            </w:r>
          </w:p>
        </w:tc>
        <w:tc>
          <w:tcPr>
            <w:tcW w:w="0" w:type="auto"/>
            <w:hideMark/>
          </w:tcPr>
          <w:p w14:paraId="76D7202F" w14:textId="44C6B7C4"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I(1)</w:t>
            </w:r>
          </w:p>
        </w:tc>
      </w:tr>
      <w:tr w:rsidR="00827347" w:rsidRPr="00E43253" w14:paraId="62F4D37A"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hideMark/>
          </w:tcPr>
          <w:p w14:paraId="690FEC87" w14:textId="7E23C2D5" w:rsidR="00827347" w:rsidRPr="00E43253" w:rsidRDefault="00E43253" w:rsidP="00827347">
            <w:pPr>
              <w:pStyle w:val="HTMLPreformatted"/>
              <w:jc w:val="both"/>
              <w:rPr>
                <w:rFonts w:ascii="Times New Roman" w:hAnsi="Times New Roman"/>
                <w:b w:val="0"/>
                <w:bCs w:val="0"/>
                <w:color w:val="202124"/>
                <w:sz w:val="22"/>
                <w:szCs w:val="22"/>
              </w:rPr>
            </w:pPr>
            <w:r w:rsidRPr="00E43253">
              <w:rPr>
                <w:rFonts w:ascii="Times New Roman" w:hAnsi="Times New Roman"/>
                <w:b w:val="0"/>
                <w:bCs w:val="0"/>
                <w:caps w:val="0"/>
                <w:color w:val="202124"/>
                <w:sz w:val="22"/>
                <w:szCs w:val="22"/>
              </w:rPr>
              <w:t>Pertumbuhan Gdp</w:t>
            </w:r>
          </w:p>
        </w:tc>
        <w:tc>
          <w:tcPr>
            <w:tcW w:w="0" w:type="auto"/>
            <w:shd w:val="clear" w:color="auto" w:fill="auto"/>
            <w:hideMark/>
          </w:tcPr>
          <w:p w14:paraId="22F1DD66" w14:textId="55BA7ED2"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&lt; 0,05</w:t>
            </w:r>
          </w:p>
        </w:tc>
        <w:tc>
          <w:tcPr>
            <w:tcW w:w="0" w:type="auto"/>
            <w:shd w:val="clear" w:color="auto" w:fill="auto"/>
            <w:hideMark/>
          </w:tcPr>
          <w:p w14:paraId="33C74A2D" w14:textId="0FE14F1E"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Stasioner</w:t>
            </w:r>
          </w:p>
        </w:tc>
        <w:tc>
          <w:tcPr>
            <w:tcW w:w="0" w:type="auto"/>
            <w:shd w:val="clear" w:color="auto" w:fill="auto"/>
            <w:hideMark/>
          </w:tcPr>
          <w:p w14:paraId="7F757C0E" w14:textId="4147BFC9"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w:t>
            </w:r>
          </w:p>
        </w:tc>
        <w:tc>
          <w:tcPr>
            <w:tcW w:w="0" w:type="auto"/>
            <w:shd w:val="clear" w:color="auto" w:fill="auto"/>
            <w:hideMark/>
          </w:tcPr>
          <w:p w14:paraId="592531E0" w14:textId="12C431B0"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w:t>
            </w:r>
          </w:p>
        </w:tc>
        <w:tc>
          <w:tcPr>
            <w:tcW w:w="0" w:type="auto"/>
            <w:shd w:val="clear" w:color="auto" w:fill="auto"/>
            <w:hideMark/>
          </w:tcPr>
          <w:p w14:paraId="02F743E8" w14:textId="675B1F8F" w:rsidR="00827347" w:rsidRPr="00E43253" w:rsidRDefault="00E43253"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I(0)</w:t>
            </w:r>
          </w:p>
        </w:tc>
      </w:tr>
      <w:tr w:rsidR="00827347" w:rsidRPr="00E43253" w14:paraId="48E96C28"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auto"/>
              <w:right w:val="none" w:sz="0" w:space="0" w:color="auto"/>
            </w:tcBorders>
            <w:hideMark/>
          </w:tcPr>
          <w:p w14:paraId="6561D200" w14:textId="1D20DBD4" w:rsidR="00827347" w:rsidRPr="00E43253" w:rsidRDefault="00E43253" w:rsidP="00827347">
            <w:pPr>
              <w:pStyle w:val="HTMLPreformatted"/>
              <w:jc w:val="both"/>
              <w:rPr>
                <w:rFonts w:ascii="Times New Roman" w:hAnsi="Times New Roman"/>
                <w:b w:val="0"/>
                <w:bCs w:val="0"/>
                <w:color w:val="202124"/>
                <w:sz w:val="22"/>
                <w:szCs w:val="22"/>
              </w:rPr>
            </w:pPr>
            <w:r w:rsidRPr="00E43253">
              <w:rPr>
                <w:rFonts w:ascii="Times New Roman" w:hAnsi="Times New Roman"/>
                <w:b w:val="0"/>
                <w:bCs w:val="0"/>
                <w:caps w:val="0"/>
                <w:color w:val="202124"/>
                <w:sz w:val="22"/>
                <w:szCs w:val="22"/>
              </w:rPr>
              <w:t>Policy Rate (Sbi/Bi Rate)</w:t>
            </w:r>
          </w:p>
        </w:tc>
        <w:tc>
          <w:tcPr>
            <w:tcW w:w="0" w:type="auto"/>
            <w:tcBorders>
              <w:bottom w:val="double" w:sz="4" w:space="0" w:color="auto"/>
            </w:tcBorders>
            <w:hideMark/>
          </w:tcPr>
          <w:p w14:paraId="74C2434E" w14:textId="1DA88F60"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&gt; 0,05</w:t>
            </w:r>
          </w:p>
        </w:tc>
        <w:tc>
          <w:tcPr>
            <w:tcW w:w="0" w:type="auto"/>
            <w:tcBorders>
              <w:bottom w:val="double" w:sz="4" w:space="0" w:color="auto"/>
            </w:tcBorders>
            <w:hideMark/>
          </w:tcPr>
          <w:p w14:paraId="5B9D0A76" w14:textId="6479DADE"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Stasioner</w:t>
            </w:r>
          </w:p>
        </w:tc>
        <w:tc>
          <w:tcPr>
            <w:tcW w:w="0" w:type="auto"/>
            <w:tcBorders>
              <w:bottom w:val="double" w:sz="4" w:space="0" w:color="auto"/>
            </w:tcBorders>
            <w:hideMark/>
          </w:tcPr>
          <w:p w14:paraId="32A725E9" w14:textId="54348E99"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&lt; 0,05</w:t>
            </w:r>
          </w:p>
        </w:tc>
        <w:tc>
          <w:tcPr>
            <w:tcW w:w="0" w:type="auto"/>
            <w:tcBorders>
              <w:bottom w:val="double" w:sz="4" w:space="0" w:color="auto"/>
            </w:tcBorders>
            <w:hideMark/>
          </w:tcPr>
          <w:p w14:paraId="51663BB4" w14:textId="22808CC1"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Stasioner</w:t>
            </w:r>
          </w:p>
        </w:tc>
        <w:tc>
          <w:tcPr>
            <w:tcW w:w="0" w:type="auto"/>
            <w:tcBorders>
              <w:bottom w:val="double" w:sz="4" w:space="0" w:color="auto"/>
            </w:tcBorders>
            <w:hideMark/>
          </w:tcPr>
          <w:p w14:paraId="5A0D3CFC" w14:textId="1B2B8A40" w:rsidR="00827347" w:rsidRPr="00E43253" w:rsidRDefault="00E43253"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I(1)</w:t>
            </w:r>
          </w:p>
        </w:tc>
      </w:tr>
    </w:tbl>
    <w:p w14:paraId="218BCB9D" w14:textId="3E273B66" w:rsidR="00827347" w:rsidRPr="00827347" w:rsidRDefault="00E43253" w:rsidP="00E43253">
      <w:pPr>
        <w:pStyle w:val="HTMLPreformatted"/>
        <w:tabs>
          <w:tab w:val="clear" w:pos="916"/>
          <w:tab w:val="left" w:pos="360"/>
        </w:tabs>
        <w:jc w:val="both"/>
        <w:rPr>
          <w:rFonts w:ascii="Times New Roman" w:hAnsi="Times New Roman"/>
          <w:color w:val="202124"/>
          <w:sz w:val="22"/>
          <w:szCs w:val="22"/>
        </w:rPr>
      </w:pPr>
      <w:r>
        <w:rPr>
          <w:rFonts w:ascii="Times New Roman" w:hAnsi="Times New Roman"/>
          <w:color w:val="202124"/>
          <w:sz w:val="22"/>
          <w:szCs w:val="22"/>
        </w:rPr>
        <w:tab/>
      </w:r>
      <w:r w:rsidR="00827347" w:rsidRPr="00827347">
        <w:rPr>
          <w:rFonts w:ascii="Times New Roman" w:hAnsi="Times New Roman"/>
          <w:color w:val="202124"/>
          <w:sz w:val="22"/>
          <w:szCs w:val="22"/>
        </w:rPr>
        <w:t>Keterangan:</w:t>
      </w:r>
    </w:p>
    <w:p w14:paraId="0B0EF937" w14:textId="77777777" w:rsidR="00827347" w:rsidRPr="00827347" w:rsidRDefault="00827347" w:rsidP="00827347">
      <w:pPr>
        <w:pStyle w:val="HTMLPreformatted"/>
        <w:numPr>
          <w:ilvl w:val="0"/>
          <w:numId w:val="41"/>
        </w:numPr>
        <w:jc w:val="both"/>
        <w:rPr>
          <w:rFonts w:ascii="Times New Roman" w:hAnsi="Times New Roman"/>
          <w:color w:val="202124"/>
          <w:sz w:val="22"/>
          <w:szCs w:val="22"/>
        </w:rPr>
      </w:pPr>
      <w:r w:rsidRPr="00827347">
        <w:rPr>
          <w:rFonts w:ascii="Times New Roman" w:hAnsi="Times New Roman"/>
          <w:color w:val="202124"/>
          <w:sz w:val="22"/>
          <w:szCs w:val="22"/>
        </w:rPr>
        <w:t>Tingkat signifikansi: 5%</w:t>
      </w:r>
    </w:p>
    <w:p w14:paraId="587B68C7" w14:textId="77777777" w:rsidR="00827347" w:rsidRPr="00827347" w:rsidRDefault="00827347" w:rsidP="00827347">
      <w:pPr>
        <w:pStyle w:val="HTMLPreformatted"/>
        <w:numPr>
          <w:ilvl w:val="0"/>
          <w:numId w:val="41"/>
        </w:numPr>
        <w:jc w:val="both"/>
        <w:rPr>
          <w:rFonts w:ascii="Times New Roman" w:hAnsi="Times New Roman"/>
          <w:color w:val="202124"/>
          <w:sz w:val="22"/>
          <w:szCs w:val="22"/>
        </w:rPr>
      </w:pPr>
      <w:r w:rsidRPr="00827347">
        <w:rPr>
          <w:rFonts w:ascii="Times New Roman" w:hAnsi="Times New Roman"/>
          <w:color w:val="202124"/>
          <w:sz w:val="22"/>
          <w:szCs w:val="22"/>
        </w:rPr>
        <w:t>Kriteria keputusan:</w:t>
      </w:r>
    </w:p>
    <w:p w14:paraId="116F842B" w14:textId="77777777" w:rsidR="00827347" w:rsidRPr="00827347" w:rsidRDefault="00827347" w:rsidP="00827347">
      <w:pPr>
        <w:pStyle w:val="HTMLPreformatted"/>
        <w:numPr>
          <w:ilvl w:val="1"/>
          <w:numId w:val="41"/>
        </w:numPr>
        <w:jc w:val="both"/>
        <w:rPr>
          <w:rFonts w:ascii="Times New Roman" w:hAnsi="Times New Roman"/>
          <w:color w:val="202124"/>
          <w:sz w:val="22"/>
          <w:szCs w:val="22"/>
        </w:rPr>
      </w:pPr>
      <w:r w:rsidRPr="00827347">
        <w:rPr>
          <w:rFonts w:ascii="Times New Roman" w:hAnsi="Times New Roman"/>
          <w:color w:val="202124"/>
          <w:sz w:val="22"/>
          <w:szCs w:val="22"/>
        </w:rPr>
        <w:t>Prob. &lt; 0,05 → stasioner (tolak H₀)</w:t>
      </w:r>
    </w:p>
    <w:p w14:paraId="7E2E3258" w14:textId="77777777" w:rsidR="00827347" w:rsidRPr="00827347" w:rsidRDefault="00827347" w:rsidP="00827347">
      <w:pPr>
        <w:pStyle w:val="HTMLPreformatted"/>
        <w:numPr>
          <w:ilvl w:val="1"/>
          <w:numId w:val="41"/>
        </w:numPr>
        <w:jc w:val="both"/>
        <w:rPr>
          <w:rFonts w:ascii="Times New Roman" w:hAnsi="Times New Roman"/>
          <w:color w:val="202124"/>
          <w:sz w:val="22"/>
          <w:szCs w:val="22"/>
        </w:rPr>
      </w:pPr>
      <w:r w:rsidRPr="00827347">
        <w:rPr>
          <w:rFonts w:ascii="Times New Roman" w:hAnsi="Times New Roman"/>
          <w:color w:val="202124"/>
          <w:sz w:val="22"/>
          <w:szCs w:val="22"/>
        </w:rPr>
        <w:t>Prob. &gt; 0,05 → tidak stasioner (gagal tolak H₀)</w:t>
      </w:r>
    </w:p>
    <w:p w14:paraId="7A6DBE7E" w14:textId="77777777" w:rsidR="00827347" w:rsidRPr="003C3504" w:rsidRDefault="00827347" w:rsidP="00827347">
      <w:pPr>
        <w:pStyle w:val="HTMLPreformatted"/>
        <w:ind w:left="360"/>
        <w:jc w:val="both"/>
        <w:rPr>
          <w:rFonts w:ascii="Times New Roman" w:hAnsi="Times New Roman"/>
          <w:color w:val="202124"/>
          <w:sz w:val="22"/>
          <w:szCs w:val="22"/>
        </w:rPr>
      </w:pPr>
    </w:p>
    <w:p w14:paraId="0C43D281" w14:textId="6828EBA5" w:rsidR="00827347" w:rsidRPr="00827347" w:rsidRDefault="00827347" w:rsidP="00665287">
      <w:pPr>
        <w:pStyle w:val="HTMLPreformatted"/>
        <w:jc w:val="both"/>
        <w:rPr>
          <w:rFonts w:ascii="Times New Roman" w:hAnsi="Times New Roman"/>
          <w:color w:val="202124"/>
          <w:sz w:val="22"/>
          <w:szCs w:val="22"/>
        </w:rPr>
      </w:pPr>
      <w:proofErr w:type="gramStart"/>
      <w:r w:rsidRPr="00827347">
        <w:rPr>
          <w:rFonts w:ascii="Times New Roman" w:hAnsi="Times New Roman"/>
          <w:color w:val="202124"/>
          <w:sz w:val="22"/>
          <w:szCs w:val="22"/>
        </w:rPr>
        <w:t>Uji stasioneritas data dilakukan menggunakan metode Augmented Dickey-Fuller (ADF) untuk memastikan bahwa setiap variabel dalam model VAR memenuhi asumsi kestasioneran.</w:t>
      </w:r>
      <w:proofErr w:type="gramEnd"/>
      <w:r w:rsidRPr="00827347">
        <w:rPr>
          <w:rFonts w:ascii="Times New Roman" w:hAnsi="Times New Roman"/>
          <w:color w:val="202124"/>
          <w:sz w:val="22"/>
          <w:szCs w:val="22"/>
        </w:rPr>
        <w:t xml:space="preserve"> </w:t>
      </w:r>
      <w:proofErr w:type="gramStart"/>
      <w:r w:rsidRPr="00827347">
        <w:rPr>
          <w:rFonts w:ascii="Times New Roman" w:hAnsi="Times New Roman"/>
          <w:color w:val="202124"/>
          <w:sz w:val="22"/>
          <w:szCs w:val="22"/>
        </w:rPr>
        <w:t>Hasil pengujian menunjukkan bahwa variabel inflasi, tingkat pengangguran, dan policy rate tidak stasioner pada tingkat level, yang ditunjukkan oleh nilai probabilitas ADF yang lebih besar dari tingkat signifikansi 5 persen.</w:t>
      </w:r>
      <w:proofErr w:type="gramEnd"/>
      <w:r w:rsidRPr="00827347">
        <w:rPr>
          <w:rFonts w:ascii="Times New Roman" w:hAnsi="Times New Roman"/>
          <w:color w:val="202124"/>
          <w:sz w:val="22"/>
          <w:szCs w:val="22"/>
        </w:rPr>
        <w:t xml:space="preserve"> </w:t>
      </w:r>
      <w:proofErr w:type="gramStart"/>
      <w:r w:rsidRPr="00827347">
        <w:rPr>
          <w:rFonts w:ascii="Times New Roman" w:hAnsi="Times New Roman"/>
          <w:color w:val="202124"/>
          <w:sz w:val="22"/>
          <w:szCs w:val="22"/>
        </w:rPr>
        <w:t>Namun demikian, setelah dilakukan diferensiasi pertama, ketiga variabel tersebut menjadi stasioner dengan nilai probabilitas yang lebih kecil dari 5 persen.</w:t>
      </w:r>
      <w:proofErr w:type="gramEnd"/>
      <w:r w:rsidRPr="00827347">
        <w:rPr>
          <w:rFonts w:ascii="Times New Roman" w:hAnsi="Times New Roman"/>
          <w:color w:val="202124"/>
          <w:sz w:val="22"/>
          <w:szCs w:val="22"/>
        </w:rPr>
        <w:t xml:space="preserve"> Dengan demikian, variabel inflasi, pengangguran, dan policy rate terintegrasi pada orde satu atau </w:t>
      </w:r>
      <w:proofErr w:type="gramStart"/>
      <w:r w:rsidRPr="00827347">
        <w:rPr>
          <w:rFonts w:ascii="Times New Roman" w:hAnsi="Times New Roman"/>
          <w:color w:val="202124"/>
          <w:sz w:val="22"/>
          <w:szCs w:val="22"/>
        </w:rPr>
        <w:t>I(</w:t>
      </w:r>
      <w:proofErr w:type="gramEnd"/>
      <w:r w:rsidRPr="00827347">
        <w:rPr>
          <w:rFonts w:ascii="Times New Roman" w:hAnsi="Times New Roman"/>
          <w:color w:val="202124"/>
          <w:sz w:val="22"/>
          <w:szCs w:val="22"/>
        </w:rPr>
        <w:t>1).</w:t>
      </w:r>
      <w:r w:rsidRPr="003C3504">
        <w:rPr>
          <w:rFonts w:ascii="Times New Roman" w:hAnsi="Times New Roman"/>
          <w:color w:val="202124"/>
          <w:sz w:val="22"/>
          <w:szCs w:val="22"/>
        </w:rPr>
        <w:t xml:space="preserve"> </w:t>
      </w:r>
      <w:r w:rsidRPr="00827347">
        <w:rPr>
          <w:rFonts w:ascii="Times New Roman" w:hAnsi="Times New Roman"/>
          <w:color w:val="202124"/>
          <w:sz w:val="22"/>
          <w:szCs w:val="22"/>
        </w:rPr>
        <w:t xml:space="preserve">Sementara itu, variabel pertumbuhan GDP telah bersifat stasioner pada tingkat level, sehingga dikategorikan sebagai variabel dengan orde integrasi nol atau </w:t>
      </w:r>
      <w:proofErr w:type="gramStart"/>
      <w:r w:rsidRPr="00827347">
        <w:rPr>
          <w:rFonts w:ascii="Times New Roman" w:hAnsi="Times New Roman"/>
          <w:color w:val="202124"/>
          <w:sz w:val="22"/>
          <w:szCs w:val="22"/>
        </w:rPr>
        <w:t>I(</w:t>
      </w:r>
      <w:proofErr w:type="gramEnd"/>
      <w:r w:rsidRPr="00827347">
        <w:rPr>
          <w:rFonts w:ascii="Times New Roman" w:hAnsi="Times New Roman"/>
          <w:color w:val="202124"/>
          <w:sz w:val="22"/>
          <w:szCs w:val="22"/>
        </w:rPr>
        <w:t xml:space="preserve">0). Berdasarkan hasil uji akar unit tersebut, dapat disimpulkan bahwa variabel dalam model memiliki kombinasi orde integrasi </w:t>
      </w:r>
      <w:proofErr w:type="gramStart"/>
      <w:r w:rsidRPr="00827347">
        <w:rPr>
          <w:rFonts w:ascii="Times New Roman" w:hAnsi="Times New Roman"/>
          <w:color w:val="202124"/>
          <w:sz w:val="22"/>
          <w:szCs w:val="22"/>
        </w:rPr>
        <w:t>I(</w:t>
      </w:r>
      <w:proofErr w:type="gramEnd"/>
      <w:r w:rsidRPr="00827347">
        <w:rPr>
          <w:rFonts w:ascii="Times New Roman" w:hAnsi="Times New Roman"/>
          <w:color w:val="202124"/>
          <w:sz w:val="22"/>
          <w:szCs w:val="22"/>
        </w:rPr>
        <w:t xml:space="preserve">0) dan I(1). </w:t>
      </w:r>
      <w:proofErr w:type="gramStart"/>
      <w:r w:rsidRPr="00827347">
        <w:rPr>
          <w:rFonts w:ascii="Times New Roman" w:hAnsi="Times New Roman"/>
          <w:color w:val="202124"/>
          <w:sz w:val="22"/>
          <w:szCs w:val="22"/>
        </w:rPr>
        <w:t>Oleh karena itu, pendekatan Vector Autoregression (VAR) dapat digunakan untuk menganalisis hubungan dinamis antar variabel dalam penelitian ini.</w:t>
      </w:r>
      <w:proofErr w:type="gramEnd"/>
    </w:p>
    <w:p w14:paraId="46BDB45A" w14:textId="77777777" w:rsidR="00827347" w:rsidRPr="00827347" w:rsidRDefault="00827347" w:rsidP="00827347">
      <w:pPr>
        <w:pStyle w:val="HTMLPreformatted"/>
        <w:ind w:left="360"/>
        <w:jc w:val="both"/>
        <w:rPr>
          <w:rFonts w:ascii="Times New Roman" w:hAnsi="Times New Roman"/>
          <w:color w:val="202124"/>
          <w:sz w:val="22"/>
          <w:szCs w:val="22"/>
        </w:rPr>
      </w:pPr>
    </w:p>
    <w:p w14:paraId="29E06870" w14:textId="5AFF4312" w:rsidR="00827347" w:rsidRPr="00665287" w:rsidRDefault="00827347" w:rsidP="00665287">
      <w:pPr>
        <w:pStyle w:val="HTMLPreformatted"/>
        <w:jc w:val="both"/>
        <w:rPr>
          <w:rFonts w:ascii="Times New Roman" w:hAnsi="Times New Roman"/>
          <w:b/>
          <w:color w:val="202124"/>
          <w:sz w:val="22"/>
          <w:szCs w:val="22"/>
        </w:rPr>
      </w:pPr>
      <w:r w:rsidRPr="00665287">
        <w:rPr>
          <w:rFonts w:ascii="Times New Roman" w:hAnsi="Times New Roman"/>
          <w:b/>
          <w:color w:val="202124"/>
          <w:sz w:val="22"/>
          <w:szCs w:val="22"/>
        </w:rPr>
        <w:t>Uji Kointegrasi Johansen</w:t>
      </w:r>
    </w:p>
    <w:p w14:paraId="23EA20B6" w14:textId="76E4B19E" w:rsidR="00827347" w:rsidRPr="00665287" w:rsidRDefault="00827347" w:rsidP="00665287">
      <w:pPr>
        <w:pStyle w:val="HTMLPreformatted"/>
        <w:rPr>
          <w:rFonts w:ascii="Times New Roman" w:hAnsi="Times New Roman"/>
          <w:b/>
          <w:color w:val="202124"/>
          <w:sz w:val="22"/>
          <w:szCs w:val="22"/>
        </w:rPr>
      </w:pPr>
      <w:proofErr w:type="gramStart"/>
      <w:r w:rsidRPr="00665287">
        <w:rPr>
          <w:rFonts w:ascii="Times New Roman" w:hAnsi="Times New Roman"/>
          <w:b/>
          <w:color w:val="202124"/>
          <w:sz w:val="22"/>
          <w:szCs w:val="22"/>
        </w:rPr>
        <w:t xml:space="preserve">Tabel </w:t>
      </w:r>
      <w:r w:rsidR="003C3504" w:rsidRPr="00665287">
        <w:rPr>
          <w:rFonts w:ascii="Times New Roman" w:hAnsi="Times New Roman"/>
          <w:b/>
          <w:color w:val="202124"/>
          <w:sz w:val="22"/>
          <w:szCs w:val="22"/>
        </w:rPr>
        <w:t>2</w:t>
      </w:r>
      <w:r w:rsidR="00665287">
        <w:rPr>
          <w:rFonts w:ascii="Times New Roman" w:hAnsi="Times New Roman"/>
          <w:b/>
          <w:color w:val="202124"/>
          <w:sz w:val="22"/>
          <w:szCs w:val="22"/>
        </w:rPr>
        <w:t>.</w:t>
      </w:r>
      <w:proofErr w:type="gramEnd"/>
      <w:r w:rsidR="00665287">
        <w:rPr>
          <w:rFonts w:ascii="Times New Roman" w:hAnsi="Times New Roman"/>
          <w:b/>
          <w:color w:val="202124"/>
          <w:sz w:val="22"/>
          <w:szCs w:val="22"/>
        </w:rPr>
        <w:t xml:space="preserve"> </w:t>
      </w:r>
      <w:r w:rsidRPr="00665287">
        <w:rPr>
          <w:rFonts w:ascii="Times New Roman" w:hAnsi="Times New Roman"/>
          <w:b/>
          <w:color w:val="202124"/>
          <w:sz w:val="22"/>
          <w:szCs w:val="22"/>
        </w:rPr>
        <w:t>Hasil Uji Kointegrasi Johansen</w:t>
      </w:r>
    </w:p>
    <w:tbl>
      <w:tblPr>
        <w:tblStyle w:val="PlainTable21"/>
        <w:tblW w:w="0" w:type="auto"/>
        <w:tblLook w:val="04A0" w:firstRow="1" w:lastRow="0" w:firstColumn="1" w:lastColumn="0" w:noHBand="0" w:noVBand="1"/>
      </w:tblPr>
      <w:tblGrid>
        <w:gridCol w:w="2268"/>
        <w:gridCol w:w="1939"/>
        <w:gridCol w:w="2434"/>
        <w:gridCol w:w="1950"/>
      </w:tblGrid>
      <w:tr w:rsidR="00827347" w:rsidRPr="00827347" w14:paraId="064E45EE" w14:textId="77777777" w:rsidTr="00E432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double" w:sz="4" w:space="0" w:color="auto"/>
            </w:tcBorders>
            <w:hideMark/>
          </w:tcPr>
          <w:p w14:paraId="166B836D" w14:textId="77777777" w:rsidR="00827347" w:rsidRPr="00827347" w:rsidRDefault="00827347" w:rsidP="00827347">
            <w:pPr>
              <w:pStyle w:val="HTMLPreformatted"/>
              <w:ind w:left="360"/>
              <w:jc w:val="both"/>
              <w:rPr>
                <w:rFonts w:ascii="Times New Roman" w:hAnsi="Times New Roman"/>
                <w:color w:val="202124"/>
                <w:sz w:val="22"/>
                <w:szCs w:val="22"/>
              </w:rPr>
            </w:pPr>
            <w:r w:rsidRPr="00827347">
              <w:rPr>
                <w:rFonts w:ascii="Times New Roman" w:hAnsi="Times New Roman"/>
                <w:color w:val="202124"/>
                <w:sz w:val="22"/>
                <w:szCs w:val="22"/>
              </w:rPr>
              <w:t>Hipotesis Nol (H₀)</w:t>
            </w:r>
          </w:p>
        </w:tc>
        <w:tc>
          <w:tcPr>
            <w:tcW w:w="0" w:type="auto"/>
            <w:tcBorders>
              <w:top w:val="double" w:sz="4" w:space="0" w:color="auto"/>
              <w:bottom w:val="double" w:sz="4" w:space="0" w:color="auto"/>
            </w:tcBorders>
            <w:hideMark/>
          </w:tcPr>
          <w:p w14:paraId="359DB282" w14:textId="77777777" w:rsidR="00827347" w:rsidRPr="00827347" w:rsidRDefault="00827347" w:rsidP="00827347">
            <w:pPr>
              <w:pStyle w:val="HTMLPreformatted"/>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Trace Statistic</w:t>
            </w:r>
          </w:p>
        </w:tc>
        <w:tc>
          <w:tcPr>
            <w:tcW w:w="0" w:type="auto"/>
            <w:tcBorders>
              <w:top w:val="double" w:sz="4" w:space="0" w:color="auto"/>
              <w:bottom w:val="double" w:sz="4" w:space="0" w:color="auto"/>
            </w:tcBorders>
            <w:hideMark/>
          </w:tcPr>
          <w:p w14:paraId="7DD5EAC2" w14:textId="77777777" w:rsidR="00827347" w:rsidRPr="00827347" w:rsidRDefault="00827347" w:rsidP="00827347">
            <w:pPr>
              <w:pStyle w:val="HTMLPreformatted"/>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Critical Value (5%)</w:t>
            </w:r>
          </w:p>
        </w:tc>
        <w:tc>
          <w:tcPr>
            <w:tcW w:w="0" w:type="auto"/>
            <w:tcBorders>
              <w:top w:val="double" w:sz="4" w:space="0" w:color="auto"/>
              <w:bottom w:val="double" w:sz="4" w:space="0" w:color="auto"/>
            </w:tcBorders>
            <w:hideMark/>
          </w:tcPr>
          <w:p w14:paraId="129C03E6" w14:textId="77777777" w:rsidR="00827347" w:rsidRPr="00827347" w:rsidRDefault="00827347" w:rsidP="00827347">
            <w:pPr>
              <w:pStyle w:val="HTMLPreformatted"/>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Keputusan</w:t>
            </w:r>
          </w:p>
        </w:tc>
      </w:tr>
      <w:tr w:rsidR="00827347" w:rsidRPr="00827347" w14:paraId="4A828D8C"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nil"/>
            </w:tcBorders>
            <w:hideMark/>
          </w:tcPr>
          <w:p w14:paraId="03DD77DB" w14:textId="77777777" w:rsidR="00827347" w:rsidRPr="00827347" w:rsidRDefault="00827347" w:rsidP="00827347">
            <w:pPr>
              <w:pStyle w:val="HTMLPreformatted"/>
              <w:ind w:left="360"/>
              <w:jc w:val="both"/>
              <w:rPr>
                <w:rFonts w:ascii="Times New Roman" w:hAnsi="Times New Roman"/>
                <w:color w:val="202124"/>
                <w:sz w:val="22"/>
                <w:szCs w:val="22"/>
              </w:rPr>
            </w:pPr>
            <w:r w:rsidRPr="00827347">
              <w:rPr>
                <w:rFonts w:ascii="Times New Roman" w:hAnsi="Times New Roman"/>
                <w:color w:val="202124"/>
                <w:sz w:val="22"/>
                <w:szCs w:val="22"/>
              </w:rPr>
              <w:t>r = 0</w:t>
            </w:r>
          </w:p>
        </w:tc>
        <w:tc>
          <w:tcPr>
            <w:tcW w:w="0" w:type="auto"/>
            <w:tcBorders>
              <w:top w:val="double" w:sz="4" w:space="0" w:color="auto"/>
              <w:bottom w:val="nil"/>
            </w:tcBorders>
            <w:hideMark/>
          </w:tcPr>
          <w:p w14:paraId="624BCF78" w14:textId="77777777" w:rsidR="00827347" w:rsidRPr="00827347" w:rsidRDefault="00827347"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&gt; CV 5%</w:t>
            </w:r>
          </w:p>
        </w:tc>
        <w:tc>
          <w:tcPr>
            <w:tcW w:w="0" w:type="auto"/>
            <w:tcBorders>
              <w:top w:val="double" w:sz="4" w:space="0" w:color="auto"/>
              <w:bottom w:val="nil"/>
            </w:tcBorders>
            <w:hideMark/>
          </w:tcPr>
          <w:p w14:paraId="1163104E" w14:textId="77777777" w:rsidR="00827347" w:rsidRPr="00827347" w:rsidRDefault="00827347"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CV 5%</w:t>
            </w:r>
          </w:p>
        </w:tc>
        <w:tc>
          <w:tcPr>
            <w:tcW w:w="0" w:type="auto"/>
            <w:tcBorders>
              <w:top w:val="double" w:sz="4" w:space="0" w:color="auto"/>
              <w:bottom w:val="nil"/>
            </w:tcBorders>
            <w:hideMark/>
          </w:tcPr>
          <w:p w14:paraId="20752E6B" w14:textId="77777777" w:rsidR="00827347" w:rsidRPr="00827347" w:rsidRDefault="00827347"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Tolak H₀</w:t>
            </w:r>
          </w:p>
        </w:tc>
      </w:tr>
      <w:tr w:rsidR="00827347" w:rsidRPr="00827347" w14:paraId="1E980C71"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D7D0310" w14:textId="77777777" w:rsidR="00827347" w:rsidRPr="00827347" w:rsidRDefault="00827347" w:rsidP="00827347">
            <w:pPr>
              <w:pStyle w:val="HTMLPreformatted"/>
              <w:ind w:left="360"/>
              <w:jc w:val="both"/>
              <w:rPr>
                <w:rFonts w:ascii="Times New Roman" w:hAnsi="Times New Roman"/>
                <w:color w:val="202124"/>
                <w:sz w:val="22"/>
                <w:szCs w:val="22"/>
              </w:rPr>
            </w:pPr>
            <w:r w:rsidRPr="00827347">
              <w:rPr>
                <w:rFonts w:ascii="Times New Roman" w:hAnsi="Times New Roman"/>
                <w:color w:val="202124"/>
                <w:sz w:val="22"/>
                <w:szCs w:val="22"/>
              </w:rPr>
              <w:t>r ≤ 1</w:t>
            </w:r>
          </w:p>
        </w:tc>
        <w:tc>
          <w:tcPr>
            <w:tcW w:w="0" w:type="auto"/>
            <w:tcBorders>
              <w:top w:val="nil"/>
              <w:bottom w:val="nil"/>
            </w:tcBorders>
            <w:hideMark/>
          </w:tcPr>
          <w:p w14:paraId="0FEB3011" w14:textId="77777777" w:rsidR="00827347" w:rsidRPr="00827347" w:rsidRDefault="00827347"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&gt; CV 5%</w:t>
            </w:r>
          </w:p>
        </w:tc>
        <w:tc>
          <w:tcPr>
            <w:tcW w:w="0" w:type="auto"/>
            <w:tcBorders>
              <w:top w:val="nil"/>
              <w:bottom w:val="nil"/>
            </w:tcBorders>
            <w:hideMark/>
          </w:tcPr>
          <w:p w14:paraId="4C9FB8F1" w14:textId="77777777" w:rsidR="00827347" w:rsidRPr="00827347" w:rsidRDefault="00827347"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CV 5%</w:t>
            </w:r>
          </w:p>
        </w:tc>
        <w:tc>
          <w:tcPr>
            <w:tcW w:w="0" w:type="auto"/>
            <w:tcBorders>
              <w:top w:val="nil"/>
              <w:bottom w:val="nil"/>
            </w:tcBorders>
            <w:hideMark/>
          </w:tcPr>
          <w:p w14:paraId="2686DB4E" w14:textId="77777777" w:rsidR="00827347" w:rsidRPr="00827347" w:rsidRDefault="00827347"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Tolak H₀</w:t>
            </w:r>
          </w:p>
        </w:tc>
      </w:tr>
      <w:tr w:rsidR="00827347" w:rsidRPr="00827347" w14:paraId="5855E1A5"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A21FB01" w14:textId="77777777" w:rsidR="00827347" w:rsidRPr="00827347" w:rsidRDefault="00827347" w:rsidP="00827347">
            <w:pPr>
              <w:pStyle w:val="HTMLPreformatted"/>
              <w:ind w:left="360"/>
              <w:jc w:val="both"/>
              <w:rPr>
                <w:rFonts w:ascii="Times New Roman" w:hAnsi="Times New Roman"/>
                <w:color w:val="202124"/>
                <w:sz w:val="22"/>
                <w:szCs w:val="22"/>
              </w:rPr>
            </w:pPr>
            <w:r w:rsidRPr="00827347">
              <w:rPr>
                <w:rFonts w:ascii="Times New Roman" w:hAnsi="Times New Roman"/>
                <w:color w:val="202124"/>
                <w:sz w:val="22"/>
                <w:szCs w:val="22"/>
              </w:rPr>
              <w:t>r ≤ 2</w:t>
            </w:r>
          </w:p>
        </w:tc>
        <w:tc>
          <w:tcPr>
            <w:tcW w:w="0" w:type="auto"/>
            <w:tcBorders>
              <w:top w:val="nil"/>
              <w:bottom w:val="nil"/>
            </w:tcBorders>
            <w:hideMark/>
          </w:tcPr>
          <w:p w14:paraId="14A738CC" w14:textId="77777777" w:rsidR="00827347" w:rsidRPr="00827347" w:rsidRDefault="00827347"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&lt; CV 5%</w:t>
            </w:r>
          </w:p>
        </w:tc>
        <w:tc>
          <w:tcPr>
            <w:tcW w:w="0" w:type="auto"/>
            <w:tcBorders>
              <w:top w:val="nil"/>
              <w:bottom w:val="nil"/>
            </w:tcBorders>
            <w:hideMark/>
          </w:tcPr>
          <w:p w14:paraId="6E3A9F02" w14:textId="77777777" w:rsidR="00827347" w:rsidRPr="00827347" w:rsidRDefault="00827347"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CV 5%</w:t>
            </w:r>
          </w:p>
        </w:tc>
        <w:tc>
          <w:tcPr>
            <w:tcW w:w="0" w:type="auto"/>
            <w:tcBorders>
              <w:top w:val="nil"/>
              <w:bottom w:val="nil"/>
            </w:tcBorders>
            <w:hideMark/>
          </w:tcPr>
          <w:p w14:paraId="59F2F2B5" w14:textId="77777777" w:rsidR="00827347" w:rsidRPr="00827347" w:rsidRDefault="00827347" w:rsidP="0082734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Gagal Tolak H₀</w:t>
            </w:r>
          </w:p>
        </w:tc>
      </w:tr>
      <w:tr w:rsidR="00827347" w:rsidRPr="00827347" w14:paraId="1536E70D"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double" w:sz="4" w:space="0" w:color="auto"/>
            </w:tcBorders>
            <w:hideMark/>
          </w:tcPr>
          <w:p w14:paraId="71BE5340" w14:textId="77777777" w:rsidR="00827347" w:rsidRPr="00827347" w:rsidRDefault="00827347" w:rsidP="00827347">
            <w:pPr>
              <w:pStyle w:val="HTMLPreformatted"/>
              <w:ind w:left="360"/>
              <w:jc w:val="both"/>
              <w:rPr>
                <w:rFonts w:ascii="Times New Roman" w:hAnsi="Times New Roman"/>
                <w:color w:val="202124"/>
                <w:sz w:val="22"/>
                <w:szCs w:val="22"/>
              </w:rPr>
            </w:pPr>
            <w:r w:rsidRPr="00827347">
              <w:rPr>
                <w:rFonts w:ascii="Times New Roman" w:hAnsi="Times New Roman"/>
                <w:color w:val="202124"/>
                <w:sz w:val="22"/>
                <w:szCs w:val="22"/>
              </w:rPr>
              <w:t>r ≤ 3</w:t>
            </w:r>
          </w:p>
        </w:tc>
        <w:tc>
          <w:tcPr>
            <w:tcW w:w="0" w:type="auto"/>
            <w:tcBorders>
              <w:top w:val="nil"/>
              <w:bottom w:val="double" w:sz="4" w:space="0" w:color="auto"/>
            </w:tcBorders>
            <w:hideMark/>
          </w:tcPr>
          <w:p w14:paraId="2D8CB610" w14:textId="77777777" w:rsidR="00827347" w:rsidRPr="00827347" w:rsidRDefault="00827347"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&lt; CV 5%</w:t>
            </w:r>
          </w:p>
        </w:tc>
        <w:tc>
          <w:tcPr>
            <w:tcW w:w="0" w:type="auto"/>
            <w:tcBorders>
              <w:top w:val="nil"/>
              <w:bottom w:val="double" w:sz="4" w:space="0" w:color="auto"/>
            </w:tcBorders>
            <w:hideMark/>
          </w:tcPr>
          <w:p w14:paraId="0A314860" w14:textId="77777777" w:rsidR="00827347" w:rsidRPr="00827347" w:rsidRDefault="00827347"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CV 5%</w:t>
            </w:r>
          </w:p>
        </w:tc>
        <w:tc>
          <w:tcPr>
            <w:tcW w:w="0" w:type="auto"/>
            <w:tcBorders>
              <w:top w:val="nil"/>
              <w:bottom w:val="double" w:sz="4" w:space="0" w:color="auto"/>
            </w:tcBorders>
            <w:hideMark/>
          </w:tcPr>
          <w:p w14:paraId="1FB24612" w14:textId="77777777" w:rsidR="00827347" w:rsidRPr="00827347" w:rsidRDefault="00827347" w:rsidP="0082734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827347">
              <w:rPr>
                <w:rFonts w:ascii="Times New Roman" w:hAnsi="Times New Roman"/>
                <w:color w:val="202124"/>
                <w:sz w:val="22"/>
                <w:szCs w:val="22"/>
              </w:rPr>
              <w:t>Gagal Tolak H₀</w:t>
            </w:r>
          </w:p>
        </w:tc>
      </w:tr>
    </w:tbl>
    <w:p w14:paraId="2C879A1A" w14:textId="77777777" w:rsidR="00827347" w:rsidRPr="00827347" w:rsidRDefault="00827347" w:rsidP="00827347">
      <w:pPr>
        <w:pStyle w:val="HTMLPreformatted"/>
        <w:ind w:left="360"/>
        <w:jc w:val="both"/>
        <w:rPr>
          <w:rFonts w:ascii="Times New Roman" w:hAnsi="Times New Roman"/>
          <w:color w:val="202124"/>
          <w:sz w:val="22"/>
          <w:szCs w:val="22"/>
        </w:rPr>
      </w:pPr>
      <w:r w:rsidRPr="00827347">
        <w:rPr>
          <w:rFonts w:ascii="Times New Roman" w:hAnsi="Times New Roman"/>
          <w:b/>
          <w:bCs/>
          <w:color w:val="202124"/>
          <w:sz w:val="22"/>
          <w:szCs w:val="22"/>
        </w:rPr>
        <w:t>Keterangan:</w:t>
      </w:r>
    </w:p>
    <w:p w14:paraId="692FABD0" w14:textId="77777777" w:rsidR="00827347" w:rsidRPr="00827347" w:rsidRDefault="00827347" w:rsidP="00827347">
      <w:pPr>
        <w:pStyle w:val="HTMLPreformatted"/>
        <w:numPr>
          <w:ilvl w:val="0"/>
          <w:numId w:val="42"/>
        </w:numPr>
        <w:jc w:val="both"/>
        <w:rPr>
          <w:rFonts w:ascii="Times New Roman" w:hAnsi="Times New Roman"/>
          <w:color w:val="202124"/>
          <w:sz w:val="22"/>
          <w:szCs w:val="22"/>
        </w:rPr>
      </w:pPr>
      <w:r w:rsidRPr="00827347">
        <w:rPr>
          <w:rFonts w:ascii="Times New Roman" w:hAnsi="Times New Roman"/>
          <w:color w:val="202124"/>
          <w:sz w:val="22"/>
          <w:szCs w:val="22"/>
        </w:rPr>
        <w:t>r = jumlah vektor kointegrasi</w:t>
      </w:r>
    </w:p>
    <w:p w14:paraId="64DF38A1" w14:textId="77777777" w:rsidR="00827347" w:rsidRPr="00827347" w:rsidRDefault="00827347" w:rsidP="00827347">
      <w:pPr>
        <w:pStyle w:val="HTMLPreformatted"/>
        <w:numPr>
          <w:ilvl w:val="0"/>
          <w:numId w:val="42"/>
        </w:numPr>
        <w:jc w:val="both"/>
        <w:rPr>
          <w:rFonts w:ascii="Times New Roman" w:hAnsi="Times New Roman"/>
          <w:color w:val="202124"/>
          <w:sz w:val="22"/>
          <w:szCs w:val="22"/>
        </w:rPr>
      </w:pPr>
      <w:r w:rsidRPr="00827347">
        <w:rPr>
          <w:rFonts w:ascii="Times New Roman" w:hAnsi="Times New Roman"/>
          <w:color w:val="202124"/>
          <w:sz w:val="22"/>
          <w:szCs w:val="22"/>
        </w:rPr>
        <w:t>Tingkat signifikansi: 5%</w:t>
      </w:r>
    </w:p>
    <w:p w14:paraId="628C722C" w14:textId="77777777" w:rsidR="00827347" w:rsidRPr="00827347" w:rsidRDefault="00827347" w:rsidP="00827347">
      <w:pPr>
        <w:pStyle w:val="HTMLPreformatted"/>
        <w:numPr>
          <w:ilvl w:val="0"/>
          <w:numId w:val="42"/>
        </w:numPr>
        <w:jc w:val="both"/>
        <w:rPr>
          <w:rFonts w:ascii="Times New Roman" w:hAnsi="Times New Roman"/>
          <w:color w:val="202124"/>
          <w:sz w:val="22"/>
          <w:szCs w:val="22"/>
        </w:rPr>
      </w:pPr>
      <w:r w:rsidRPr="00827347">
        <w:rPr>
          <w:rFonts w:ascii="Times New Roman" w:hAnsi="Times New Roman"/>
          <w:color w:val="202124"/>
          <w:sz w:val="22"/>
          <w:szCs w:val="22"/>
        </w:rPr>
        <w:t>Kriteria keputusan:</w:t>
      </w:r>
    </w:p>
    <w:p w14:paraId="4104DB39" w14:textId="77777777" w:rsidR="00827347" w:rsidRPr="00827347" w:rsidRDefault="00827347" w:rsidP="00827347">
      <w:pPr>
        <w:pStyle w:val="HTMLPreformatted"/>
        <w:numPr>
          <w:ilvl w:val="1"/>
          <w:numId w:val="42"/>
        </w:numPr>
        <w:jc w:val="both"/>
        <w:rPr>
          <w:rFonts w:ascii="Times New Roman" w:hAnsi="Times New Roman"/>
          <w:color w:val="202124"/>
          <w:sz w:val="22"/>
          <w:szCs w:val="22"/>
        </w:rPr>
      </w:pPr>
      <w:r w:rsidRPr="00827347">
        <w:rPr>
          <w:rFonts w:ascii="Times New Roman" w:hAnsi="Times New Roman"/>
          <w:color w:val="202124"/>
          <w:sz w:val="22"/>
          <w:szCs w:val="22"/>
        </w:rPr>
        <w:t>Trace Statistic &gt; Critical Value → terdapat kointegrasi</w:t>
      </w:r>
    </w:p>
    <w:p w14:paraId="725B005B" w14:textId="77777777" w:rsidR="00827347" w:rsidRPr="00827347" w:rsidRDefault="00827347" w:rsidP="00827347">
      <w:pPr>
        <w:pStyle w:val="HTMLPreformatted"/>
        <w:numPr>
          <w:ilvl w:val="1"/>
          <w:numId w:val="42"/>
        </w:numPr>
        <w:jc w:val="both"/>
        <w:rPr>
          <w:rFonts w:ascii="Times New Roman" w:hAnsi="Times New Roman"/>
          <w:color w:val="202124"/>
          <w:sz w:val="22"/>
          <w:szCs w:val="22"/>
        </w:rPr>
      </w:pPr>
      <w:r w:rsidRPr="00827347">
        <w:rPr>
          <w:rFonts w:ascii="Times New Roman" w:hAnsi="Times New Roman"/>
          <w:color w:val="202124"/>
          <w:sz w:val="22"/>
          <w:szCs w:val="22"/>
        </w:rPr>
        <w:t>Trace Statistic &lt; Critical Value → tidak terdapat kointegrasi</w:t>
      </w:r>
    </w:p>
    <w:p w14:paraId="381BE21B" w14:textId="77777777" w:rsidR="00827347" w:rsidRPr="003C3504" w:rsidRDefault="00827347" w:rsidP="00827347">
      <w:pPr>
        <w:pStyle w:val="HTMLPreformatted"/>
        <w:ind w:left="360"/>
        <w:jc w:val="both"/>
        <w:rPr>
          <w:rFonts w:ascii="Times New Roman" w:hAnsi="Times New Roman"/>
          <w:color w:val="202124"/>
          <w:sz w:val="22"/>
          <w:szCs w:val="22"/>
        </w:rPr>
      </w:pPr>
    </w:p>
    <w:p w14:paraId="468F87ED" w14:textId="114A014D" w:rsidR="00827347" w:rsidRPr="00827347" w:rsidRDefault="00827347" w:rsidP="00665287">
      <w:pPr>
        <w:pStyle w:val="HTMLPreformatted"/>
        <w:jc w:val="both"/>
        <w:rPr>
          <w:rFonts w:ascii="Times New Roman" w:hAnsi="Times New Roman"/>
          <w:color w:val="202124"/>
          <w:sz w:val="22"/>
          <w:szCs w:val="22"/>
        </w:rPr>
      </w:pPr>
      <w:proofErr w:type="gramStart"/>
      <w:r w:rsidRPr="00827347">
        <w:rPr>
          <w:rFonts w:ascii="Times New Roman" w:hAnsi="Times New Roman"/>
          <w:color w:val="202124"/>
          <w:sz w:val="22"/>
          <w:szCs w:val="22"/>
        </w:rPr>
        <w:t>Setelah dilakukan uji stasioneritas, pengujian dilanjutkan dengan uji kointegrasi Johansen untuk mengetahui apakah terdapat hubungan keseimbangan jangka panjang antar variabel dalam model.</w:t>
      </w:r>
      <w:proofErr w:type="gramEnd"/>
      <w:r w:rsidRPr="00827347">
        <w:rPr>
          <w:rFonts w:ascii="Times New Roman" w:hAnsi="Times New Roman"/>
          <w:color w:val="202124"/>
          <w:sz w:val="22"/>
          <w:szCs w:val="22"/>
        </w:rPr>
        <w:t xml:space="preserve"> </w:t>
      </w:r>
      <w:proofErr w:type="gramStart"/>
      <w:r w:rsidRPr="00827347">
        <w:rPr>
          <w:rFonts w:ascii="Times New Roman" w:hAnsi="Times New Roman"/>
          <w:color w:val="202124"/>
          <w:sz w:val="22"/>
          <w:szCs w:val="22"/>
        </w:rPr>
        <w:t>Uji kointegrasi dilakukan dengan menggunakan Trace Statistic pada tingkat signifikansi 5 persen.</w:t>
      </w:r>
      <w:proofErr w:type="gramEnd"/>
      <w:r w:rsidR="00665287">
        <w:rPr>
          <w:rFonts w:ascii="Times New Roman" w:hAnsi="Times New Roman"/>
          <w:color w:val="202124"/>
          <w:sz w:val="22"/>
          <w:szCs w:val="22"/>
        </w:rPr>
        <w:t xml:space="preserve"> </w:t>
      </w:r>
      <w:r w:rsidRPr="00827347">
        <w:rPr>
          <w:rFonts w:ascii="Times New Roman" w:hAnsi="Times New Roman"/>
          <w:color w:val="202124"/>
          <w:sz w:val="22"/>
          <w:szCs w:val="22"/>
        </w:rPr>
        <w:t>Hasil pengujian menunjukkan bahwa nilai Trace Statistic pada hipotesis nol r = 0 dan r ≤ 1 lebih besar dibandingkan dengan nilai Critical Value pada tingkat signifikansi 5 persen, sehingga hipotesis nol ditolak. Sementara itu, pada hipotesis r ≤ 2 dan seterusnya, nilai Trace Statistic lebih kecil dari Critical Value, sehingga hipotesis nol gagal ditolak.</w:t>
      </w:r>
      <w:r w:rsidRPr="003C3504">
        <w:rPr>
          <w:rFonts w:ascii="Times New Roman" w:hAnsi="Times New Roman"/>
          <w:color w:val="202124"/>
          <w:sz w:val="22"/>
          <w:szCs w:val="22"/>
        </w:rPr>
        <w:t xml:space="preserve"> </w:t>
      </w:r>
      <w:proofErr w:type="gramStart"/>
      <w:r w:rsidRPr="00827347">
        <w:rPr>
          <w:rFonts w:ascii="Times New Roman" w:hAnsi="Times New Roman"/>
          <w:color w:val="202124"/>
          <w:sz w:val="22"/>
          <w:szCs w:val="22"/>
        </w:rPr>
        <w:t>Temuan ini mengindikasikan bahwa terdapat setidaknya satu vektor kointegrasi di antara variabel inflasi, pengangguran, pertumbuhan GDP, dan policy rate.</w:t>
      </w:r>
      <w:proofErr w:type="gramEnd"/>
      <w:r w:rsidRPr="00827347">
        <w:rPr>
          <w:rFonts w:ascii="Times New Roman" w:hAnsi="Times New Roman"/>
          <w:color w:val="202124"/>
          <w:sz w:val="22"/>
          <w:szCs w:val="22"/>
        </w:rPr>
        <w:t xml:space="preserve"> </w:t>
      </w:r>
      <w:proofErr w:type="gramStart"/>
      <w:r w:rsidRPr="00827347">
        <w:rPr>
          <w:rFonts w:ascii="Times New Roman" w:hAnsi="Times New Roman"/>
          <w:color w:val="202124"/>
          <w:sz w:val="22"/>
          <w:szCs w:val="22"/>
        </w:rPr>
        <w:t>Dengan demikian, dapat disimpulkan bahwa variabel-variabel tersebut memiliki hubungan keseimbangan jangka panjang, meskipun dalam jangka pendek dapat mengalami fluktuasi.</w:t>
      </w:r>
      <w:proofErr w:type="gramEnd"/>
      <w:r w:rsidRPr="003C3504">
        <w:rPr>
          <w:rFonts w:ascii="Times New Roman" w:hAnsi="Times New Roman"/>
          <w:color w:val="202124"/>
          <w:sz w:val="22"/>
          <w:szCs w:val="22"/>
        </w:rPr>
        <w:t xml:space="preserve"> </w:t>
      </w:r>
      <w:proofErr w:type="gramStart"/>
      <w:r w:rsidRPr="003C3504">
        <w:rPr>
          <w:rFonts w:ascii="Times New Roman" w:hAnsi="Times New Roman"/>
          <w:color w:val="202124"/>
          <w:sz w:val="22"/>
          <w:szCs w:val="22"/>
        </w:rPr>
        <w:lastRenderedPageBreak/>
        <w:t>Keberadaan hubungan kointegrasi ini menunjukkan bahwa pergerakan inflasi, pengangguran, pertumbuhan ekonomi, dan kebijakan moneter–fiskal saling terkait dalam jangka panjang.</w:t>
      </w:r>
      <w:proofErr w:type="gramEnd"/>
      <w:r w:rsidRPr="003C3504">
        <w:rPr>
          <w:rFonts w:ascii="Times New Roman" w:hAnsi="Times New Roman"/>
          <w:color w:val="202124"/>
          <w:sz w:val="22"/>
          <w:szCs w:val="22"/>
        </w:rPr>
        <w:t xml:space="preserve"> </w:t>
      </w:r>
      <w:proofErr w:type="gramStart"/>
      <w:r w:rsidRPr="003C3504">
        <w:rPr>
          <w:rFonts w:ascii="Times New Roman" w:hAnsi="Times New Roman"/>
          <w:color w:val="202124"/>
          <w:sz w:val="22"/>
          <w:szCs w:val="22"/>
        </w:rPr>
        <w:t>Oleh karena itu, analisis selanjutnya dapat dilakukan dengan menggunakan model Vector Error Correction Model (VECM) atau tetap menggunakan VAR untuk menganalisis dinamika jangka pendek dan respon terhadap guncangan kebijakan</w:t>
      </w:r>
      <w:r w:rsidRPr="00827347">
        <w:rPr>
          <w:rFonts w:ascii="Times New Roman" w:hAnsi="Times New Roman"/>
          <w:color w:val="202124"/>
          <w:sz w:val="22"/>
          <w:szCs w:val="22"/>
        </w:rPr>
        <w:t>.</w:t>
      </w:r>
      <w:proofErr w:type="gramEnd"/>
    </w:p>
    <w:p w14:paraId="757AAEAE" w14:textId="77777777" w:rsidR="0072750F" w:rsidRDefault="0072750F" w:rsidP="00081C79">
      <w:pPr>
        <w:pStyle w:val="HTMLPreformatted"/>
        <w:jc w:val="both"/>
        <w:rPr>
          <w:rFonts w:ascii="Times New Roman" w:hAnsi="Times New Roman"/>
          <w:color w:val="202124"/>
          <w:sz w:val="22"/>
          <w:szCs w:val="22"/>
        </w:rPr>
      </w:pPr>
    </w:p>
    <w:p w14:paraId="6A014C6B" w14:textId="6397D87F" w:rsidR="00827347" w:rsidRPr="00665287" w:rsidRDefault="00827347" w:rsidP="000A4571">
      <w:pPr>
        <w:pStyle w:val="HTMLPreformatted"/>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b/>
          <w:color w:val="202124"/>
          <w:sz w:val="22"/>
          <w:szCs w:val="22"/>
        </w:rPr>
      </w:pPr>
      <w:r w:rsidRPr="00665287">
        <w:rPr>
          <w:rFonts w:ascii="Times New Roman" w:hAnsi="Times New Roman"/>
          <w:b/>
          <w:color w:val="202124"/>
          <w:sz w:val="22"/>
          <w:szCs w:val="22"/>
        </w:rPr>
        <w:t>Uji Kausalitas Granger</w:t>
      </w:r>
      <w:r w:rsidR="000A4571">
        <w:rPr>
          <w:rFonts w:ascii="Times New Roman" w:hAnsi="Times New Roman"/>
          <w:b/>
          <w:color w:val="202124"/>
          <w:sz w:val="22"/>
          <w:szCs w:val="22"/>
        </w:rPr>
        <w:tab/>
      </w:r>
    </w:p>
    <w:p w14:paraId="26C9AB50" w14:textId="77BE5162" w:rsidR="00671C2F" w:rsidRPr="00665287" w:rsidRDefault="00671C2F" w:rsidP="00665287">
      <w:pPr>
        <w:pStyle w:val="HTMLPreformatted"/>
        <w:rPr>
          <w:rFonts w:ascii="Times New Roman" w:hAnsi="Times New Roman"/>
          <w:b/>
          <w:color w:val="202124"/>
          <w:sz w:val="22"/>
          <w:szCs w:val="22"/>
        </w:rPr>
      </w:pPr>
      <w:proofErr w:type="gramStart"/>
      <w:r w:rsidRPr="00665287">
        <w:rPr>
          <w:rFonts w:ascii="Times New Roman" w:hAnsi="Times New Roman"/>
          <w:b/>
          <w:color w:val="202124"/>
          <w:sz w:val="22"/>
          <w:szCs w:val="22"/>
        </w:rPr>
        <w:t xml:space="preserve">Tabel </w:t>
      </w:r>
      <w:r w:rsidR="003C3504" w:rsidRPr="00665287">
        <w:rPr>
          <w:rFonts w:ascii="Times New Roman" w:hAnsi="Times New Roman"/>
          <w:b/>
          <w:color w:val="202124"/>
          <w:sz w:val="22"/>
          <w:szCs w:val="22"/>
        </w:rPr>
        <w:t>3</w:t>
      </w:r>
      <w:r w:rsidR="00665287">
        <w:rPr>
          <w:rFonts w:ascii="Times New Roman" w:hAnsi="Times New Roman"/>
          <w:b/>
          <w:color w:val="202124"/>
          <w:sz w:val="22"/>
          <w:szCs w:val="22"/>
        </w:rPr>
        <w:t>.</w:t>
      </w:r>
      <w:proofErr w:type="gramEnd"/>
      <w:r w:rsidR="00665287" w:rsidRPr="00665287">
        <w:rPr>
          <w:rFonts w:ascii="Times New Roman" w:hAnsi="Times New Roman"/>
          <w:b/>
          <w:color w:val="202124"/>
          <w:sz w:val="22"/>
          <w:szCs w:val="22"/>
        </w:rPr>
        <w:t xml:space="preserve"> </w:t>
      </w:r>
      <w:r w:rsidRPr="00665287">
        <w:rPr>
          <w:rFonts w:ascii="Times New Roman" w:hAnsi="Times New Roman"/>
          <w:b/>
          <w:color w:val="202124"/>
          <w:sz w:val="22"/>
          <w:szCs w:val="22"/>
        </w:rPr>
        <w:t>Ringkasan Hasil Uji Kausalitas Granger</w:t>
      </w:r>
    </w:p>
    <w:tbl>
      <w:tblPr>
        <w:tblStyle w:val="PlainTable21"/>
        <w:tblW w:w="0" w:type="auto"/>
        <w:tblLook w:val="04A0" w:firstRow="1" w:lastRow="0" w:firstColumn="1" w:lastColumn="0" w:noHBand="0" w:noVBand="1"/>
      </w:tblPr>
      <w:tblGrid>
        <w:gridCol w:w="2573"/>
        <w:gridCol w:w="1603"/>
        <w:gridCol w:w="1994"/>
        <w:gridCol w:w="3118"/>
      </w:tblGrid>
      <w:tr w:rsidR="00671C2F" w:rsidRPr="00671C2F" w14:paraId="631871CD" w14:textId="77777777" w:rsidTr="00E432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double" w:sz="4" w:space="0" w:color="auto"/>
            </w:tcBorders>
            <w:hideMark/>
          </w:tcPr>
          <w:p w14:paraId="1A5A6ED4" w14:textId="77777777" w:rsidR="00671C2F" w:rsidRPr="00671C2F" w:rsidRDefault="00671C2F" w:rsidP="00E43253">
            <w:pPr>
              <w:pStyle w:val="HTMLPreformatted"/>
              <w:ind w:left="360"/>
              <w:jc w:val="center"/>
              <w:rPr>
                <w:rFonts w:ascii="Times New Roman" w:hAnsi="Times New Roman"/>
                <w:color w:val="202124"/>
                <w:sz w:val="22"/>
                <w:szCs w:val="22"/>
              </w:rPr>
            </w:pPr>
            <w:r w:rsidRPr="00671C2F">
              <w:rPr>
                <w:rFonts w:ascii="Times New Roman" w:hAnsi="Times New Roman"/>
                <w:color w:val="202124"/>
                <w:sz w:val="22"/>
                <w:szCs w:val="22"/>
              </w:rPr>
              <w:t>Hubungan Kausal</w:t>
            </w:r>
          </w:p>
        </w:tc>
        <w:tc>
          <w:tcPr>
            <w:tcW w:w="0" w:type="auto"/>
            <w:tcBorders>
              <w:top w:val="double" w:sz="4" w:space="0" w:color="auto"/>
              <w:bottom w:val="double" w:sz="4" w:space="0" w:color="auto"/>
            </w:tcBorders>
            <w:hideMark/>
          </w:tcPr>
          <w:p w14:paraId="1A5A8C8B" w14:textId="77777777" w:rsidR="00671C2F" w:rsidRPr="00671C2F" w:rsidRDefault="00671C2F" w:rsidP="00E43253">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671C2F">
              <w:rPr>
                <w:rFonts w:ascii="Times New Roman" w:hAnsi="Times New Roman"/>
                <w:color w:val="202124"/>
                <w:sz w:val="22"/>
                <w:szCs w:val="22"/>
              </w:rPr>
              <w:t>Prob.</w:t>
            </w:r>
          </w:p>
        </w:tc>
        <w:tc>
          <w:tcPr>
            <w:tcW w:w="0" w:type="auto"/>
            <w:tcBorders>
              <w:top w:val="double" w:sz="4" w:space="0" w:color="auto"/>
              <w:bottom w:val="double" w:sz="4" w:space="0" w:color="auto"/>
            </w:tcBorders>
            <w:hideMark/>
          </w:tcPr>
          <w:p w14:paraId="1ECE6C97" w14:textId="77777777" w:rsidR="00671C2F" w:rsidRPr="00671C2F" w:rsidRDefault="00671C2F" w:rsidP="00E43253">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671C2F">
              <w:rPr>
                <w:rFonts w:ascii="Times New Roman" w:hAnsi="Times New Roman"/>
                <w:color w:val="202124"/>
                <w:sz w:val="22"/>
                <w:szCs w:val="22"/>
              </w:rPr>
              <w:t>Keputusan</w:t>
            </w:r>
          </w:p>
        </w:tc>
        <w:tc>
          <w:tcPr>
            <w:tcW w:w="0" w:type="auto"/>
            <w:tcBorders>
              <w:top w:val="double" w:sz="4" w:space="0" w:color="auto"/>
              <w:bottom w:val="double" w:sz="4" w:space="0" w:color="auto"/>
            </w:tcBorders>
            <w:hideMark/>
          </w:tcPr>
          <w:p w14:paraId="7028AA41" w14:textId="77777777" w:rsidR="00671C2F" w:rsidRPr="00671C2F" w:rsidRDefault="00671C2F" w:rsidP="00E43253">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671C2F">
              <w:rPr>
                <w:rFonts w:ascii="Times New Roman" w:hAnsi="Times New Roman"/>
                <w:color w:val="202124"/>
                <w:sz w:val="22"/>
                <w:szCs w:val="22"/>
              </w:rPr>
              <w:t>Kesimpulan</w:t>
            </w:r>
          </w:p>
        </w:tc>
      </w:tr>
      <w:tr w:rsidR="00671C2F" w:rsidRPr="00E43253" w14:paraId="2742E5FE"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nil"/>
            </w:tcBorders>
            <w:hideMark/>
          </w:tcPr>
          <w:p w14:paraId="3BD2BEC8"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Inflasi → Pengangguran</w:t>
            </w:r>
          </w:p>
        </w:tc>
        <w:tc>
          <w:tcPr>
            <w:tcW w:w="0" w:type="auto"/>
            <w:tcBorders>
              <w:top w:val="double" w:sz="4" w:space="0" w:color="auto"/>
              <w:bottom w:val="nil"/>
            </w:tcBorders>
            <w:hideMark/>
          </w:tcPr>
          <w:p w14:paraId="1EEDDB6B"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0,0409</w:t>
            </w:r>
          </w:p>
        </w:tc>
        <w:tc>
          <w:tcPr>
            <w:tcW w:w="0" w:type="auto"/>
            <w:tcBorders>
              <w:top w:val="double" w:sz="4" w:space="0" w:color="auto"/>
              <w:bottom w:val="nil"/>
            </w:tcBorders>
            <w:hideMark/>
          </w:tcPr>
          <w:p w14:paraId="26076CC4"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double" w:sz="4" w:space="0" w:color="auto"/>
              <w:bottom w:val="nil"/>
            </w:tcBorders>
            <w:hideMark/>
          </w:tcPr>
          <w:p w14:paraId="05E46D54"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Inflasi menyebabkan Pengangguran</w:t>
            </w:r>
          </w:p>
        </w:tc>
      </w:tr>
      <w:tr w:rsidR="00671C2F" w:rsidRPr="00E43253" w14:paraId="6B991669"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C7DF6C6"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Pengangguran → Inflasi</w:t>
            </w:r>
          </w:p>
        </w:tc>
        <w:tc>
          <w:tcPr>
            <w:tcW w:w="0" w:type="auto"/>
            <w:tcBorders>
              <w:top w:val="nil"/>
              <w:bottom w:val="nil"/>
            </w:tcBorders>
            <w:hideMark/>
          </w:tcPr>
          <w:p w14:paraId="1770D7EF"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0,1493</w:t>
            </w:r>
          </w:p>
        </w:tc>
        <w:tc>
          <w:tcPr>
            <w:tcW w:w="0" w:type="auto"/>
            <w:tcBorders>
              <w:top w:val="nil"/>
              <w:bottom w:val="nil"/>
            </w:tcBorders>
            <w:hideMark/>
          </w:tcPr>
          <w:p w14:paraId="5F18A2AC"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4F2578D3"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5EF2215B"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AFD993A"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BI Rate → Pengangguran</w:t>
            </w:r>
          </w:p>
        </w:tc>
        <w:tc>
          <w:tcPr>
            <w:tcW w:w="0" w:type="auto"/>
            <w:tcBorders>
              <w:top w:val="nil"/>
              <w:bottom w:val="nil"/>
            </w:tcBorders>
            <w:hideMark/>
          </w:tcPr>
          <w:p w14:paraId="1DEC333E"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0,0185</w:t>
            </w:r>
          </w:p>
        </w:tc>
        <w:tc>
          <w:tcPr>
            <w:tcW w:w="0" w:type="auto"/>
            <w:tcBorders>
              <w:top w:val="nil"/>
              <w:bottom w:val="nil"/>
            </w:tcBorders>
            <w:hideMark/>
          </w:tcPr>
          <w:p w14:paraId="09769E07"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nil"/>
            </w:tcBorders>
            <w:hideMark/>
          </w:tcPr>
          <w:p w14:paraId="2699377B"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BI Rate menyebabkan Pengangguran</w:t>
            </w:r>
          </w:p>
        </w:tc>
      </w:tr>
      <w:tr w:rsidR="00671C2F" w:rsidRPr="00E43253" w14:paraId="2227B2B9"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9F67854"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Pengangguran → BI Rate</w:t>
            </w:r>
          </w:p>
        </w:tc>
        <w:tc>
          <w:tcPr>
            <w:tcW w:w="0" w:type="auto"/>
            <w:tcBorders>
              <w:top w:val="nil"/>
              <w:bottom w:val="nil"/>
            </w:tcBorders>
            <w:hideMark/>
          </w:tcPr>
          <w:p w14:paraId="4F72E0F1"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0,6287</w:t>
            </w:r>
          </w:p>
        </w:tc>
        <w:tc>
          <w:tcPr>
            <w:tcW w:w="0" w:type="auto"/>
            <w:tcBorders>
              <w:top w:val="nil"/>
              <w:bottom w:val="nil"/>
            </w:tcBorders>
            <w:hideMark/>
          </w:tcPr>
          <w:p w14:paraId="052C60C2"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1288B8D6"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523583DE"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80039E6"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GDP → Pengangguran</w:t>
            </w:r>
          </w:p>
        </w:tc>
        <w:tc>
          <w:tcPr>
            <w:tcW w:w="0" w:type="auto"/>
            <w:tcBorders>
              <w:top w:val="nil"/>
              <w:bottom w:val="nil"/>
            </w:tcBorders>
            <w:hideMark/>
          </w:tcPr>
          <w:p w14:paraId="6BBA0C76"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0,9623</w:t>
            </w:r>
          </w:p>
        </w:tc>
        <w:tc>
          <w:tcPr>
            <w:tcW w:w="0" w:type="auto"/>
            <w:tcBorders>
              <w:top w:val="nil"/>
              <w:bottom w:val="nil"/>
            </w:tcBorders>
            <w:hideMark/>
          </w:tcPr>
          <w:p w14:paraId="5B7CF7E3"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643EA464"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480477B9"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A10B8EF"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Pengangguran → GDP</w:t>
            </w:r>
          </w:p>
        </w:tc>
        <w:tc>
          <w:tcPr>
            <w:tcW w:w="0" w:type="auto"/>
            <w:tcBorders>
              <w:top w:val="nil"/>
              <w:bottom w:val="nil"/>
            </w:tcBorders>
            <w:hideMark/>
          </w:tcPr>
          <w:p w14:paraId="1E938823"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0,2965</w:t>
            </w:r>
          </w:p>
        </w:tc>
        <w:tc>
          <w:tcPr>
            <w:tcW w:w="0" w:type="auto"/>
            <w:tcBorders>
              <w:top w:val="nil"/>
              <w:bottom w:val="nil"/>
            </w:tcBorders>
            <w:hideMark/>
          </w:tcPr>
          <w:p w14:paraId="1CDA5BFE"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0007D85F"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5B2E575F"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E71CB6C"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BI Rate → Inflasi</w:t>
            </w:r>
          </w:p>
        </w:tc>
        <w:tc>
          <w:tcPr>
            <w:tcW w:w="0" w:type="auto"/>
            <w:tcBorders>
              <w:top w:val="nil"/>
              <w:bottom w:val="nil"/>
            </w:tcBorders>
            <w:hideMark/>
          </w:tcPr>
          <w:p w14:paraId="1E95E632"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0,0377</w:t>
            </w:r>
          </w:p>
        </w:tc>
        <w:tc>
          <w:tcPr>
            <w:tcW w:w="0" w:type="auto"/>
            <w:tcBorders>
              <w:top w:val="nil"/>
              <w:bottom w:val="nil"/>
            </w:tcBorders>
            <w:hideMark/>
          </w:tcPr>
          <w:p w14:paraId="77ACDEA8"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nil"/>
            </w:tcBorders>
            <w:hideMark/>
          </w:tcPr>
          <w:p w14:paraId="3DE6D2B6"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BI Rate menyebabkan Inflasi</w:t>
            </w:r>
          </w:p>
        </w:tc>
      </w:tr>
      <w:tr w:rsidR="00671C2F" w:rsidRPr="00E43253" w14:paraId="73992819"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BDACDC0"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Inflasi → BI Rate</w:t>
            </w:r>
          </w:p>
        </w:tc>
        <w:tc>
          <w:tcPr>
            <w:tcW w:w="0" w:type="auto"/>
            <w:tcBorders>
              <w:top w:val="nil"/>
              <w:bottom w:val="nil"/>
            </w:tcBorders>
            <w:hideMark/>
          </w:tcPr>
          <w:p w14:paraId="34140A5B"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0,2140</w:t>
            </w:r>
          </w:p>
        </w:tc>
        <w:tc>
          <w:tcPr>
            <w:tcW w:w="0" w:type="auto"/>
            <w:tcBorders>
              <w:top w:val="nil"/>
              <w:bottom w:val="nil"/>
            </w:tcBorders>
            <w:hideMark/>
          </w:tcPr>
          <w:p w14:paraId="7FDE0318"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0329BF36"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2430D72A"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55A42ABD"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Kurs → Inflasi</w:t>
            </w:r>
          </w:p>
        </w:tc>
        <w:tc>
          <w:tcPr>
            <w:tcW w:w="0" w:type="auto"/>
            <w:tcBorders>
              <w:top w:val="nil"/>
              <w:bottom w:val="nil"/>
            </w:tcBorders>
            <w:hideMark/>
          </w:tcPr>
          <w:p w14:paraId="1608758C"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0,0090</w:t>
            </w:r>
          </w:p>
        </w:tc>
        <w:tc>
          <w:tcPr>
            <w:tcW w:w="0" w:type="auto"/>
            <w:tcBorders>
              <w:top w:val="nil"/>
              <w:bottom w:val="nil"/>
            </w:tcBorders>
            <w:hideMark/>
          </w:tcPr>
          <w:p w14:paraId="5D922A04"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nil"/>
            </w:tcBorders>
            <w:hideMark/>
          </w:tcPr>
          <w:p w14:paraId="4B62B119"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Kurs menyebabkan Inflasi</w:t>
            </w:r>
          </w:p>
        </w:tc>
      </w:tr>
      <w:tr w:rsidR="00671C2F" w:rsidRPr="00E43253" w14:paraId="44E9E008"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0BB19E3"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Inflasi → Kurs</w:t>
            </w:r>
          </w:p>
        </w:tc>
        <w:tc>
          <w:tcPr>
            <w:tcW w:w="0" w:type="auto"/>
            <w:tcBorders>
              <w:top w:val="nil"/>
              <w:bottom w:val="nil"/>
            </w:tcBorders>
            <w:hideMark/>
          </w:tcPr>
          <w:p w14:paraId="24DCD2B6"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0,1409</w:t>
            </w:r>
          </w:p>
        </w:tc>
        <w:tc>
          <w:tcPr>
            <w:tcW w:w="0" w:type="auto"/>
            <w:tcBorders>
              <w:top w:val="nil"/>
              <w:bottom w:val="nil"/>
            </w:tcBorders>
            <w:hideMark/>
          </w:tcPr>
          <w:p w14:paraId="468C6144"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127C482F"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554E14A0"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5B446C25"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Pajak → Inflasi</w:t>
            </w:r>
          </w:p>
        </w:tc>
        <w:tc>
          <w:tcPr>
            <w:tcW w:w="0" w:type="auto"/>
            <w:tcBorders>
              <w:top w:val="nil"/>
              <w:bottom w:val="nil"/>
            </w:tcBorders>
            <w:hideMark/>
          </w:tcPr>
          <w:p w14:paraId="6AF5AE17"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0,0027</w:t>
            </w:r>
          </w:p>
        </w:tc>
        <w:tc>
          <w:tcPr>
            <w:tcW w:w="0" w:type="auto"/>
            <w:tcBorders>
              <w:top w:val="nil"/>
              <w:bottom w:val="nil"/>
            </w:tcBorders>
            <w:hideMark/>
          </w:tcPr>
          <w:p w14:paraId="6E24A2B6"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nil"/>
            </w:tcBorders>
            <w:hideMark/>
          </w:tcPr>
          <w:p w14:paraId="0E8311C9"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Pajak menyebabkan Inflasi</w:t>
            </w:r>
          </w:p>
        </w:tc>
      </w:tr>
      <w:tr w:rsidR="00671C2F" w:rsidRPr="00E43253" w14:paraId="463034F0"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F7A1857"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Inflasi → Pajak</w:t>
            </w:r>
          </w:p>
        </w:tc>
        <w:tc>
          <w:tcPr>
            <w:tcW w:w="0" w:type="auto"/>
            <w:tcBorders>
              <w:top w:val="nil"/>
              <w:bottom w:val="nil"/>
            </w:tcBorders>
            <w:hideMark/>
          </w:tcPr>
          <w:p w14:paraId="7A048FC1"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0,1551</w:t>
            </w:r>
          </w:p>
        </w:tc>
        <w:tc>
          <w:tcPr>
            <w:tcW w:w="0" w:type="auto"/>
            <w:tcBorders>
              <w:top w:val="nil"/>
              <w:bottom w:val="nil"/>
            </w:tcBorders>
            <w:hideMark/>
          </w:tcPr>
          <w:p w14:paraId="1C0BCA43"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0B5B3C97"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04482F1F"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26BAAFC"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Belanja Pemerintah → Inflasi</w:t>
            </w:r>
          </w:p>
        </w:tc>
        <w:tc>
          <w:tcPr>
            <w:tcW w:w="0" w:type="auto"/>
            <w:tcBorders>
              <w:top w:val="nil"/>
              <w:bottom w:val="nil"/>
            </w:tcBorders>
            <w:hideMark/>
          </w:tcPr>
          <w:p w14:paraId="378B708C"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0,0073</w:t>
            </w:r>
          </w:p>
        </w:tc>
        <w:tc>
          <w:tcPr>
            <w:tcW w:w="0" w:type="auto"/>
            <w:tcBorders>
              <w:top w:val="nil"/>
              <w:bottom w:val="nil"/>
            </w:tcBorders>
            <w:hideMark/>
          </w:tcPr>
          <w:p w14:paraId="7B696D05"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nil"/>
            </w:tcBorders>
            <w:hideMark/>
          </w:tcPr>
          <w:p w14:paraId="16884192"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Belanja Pemerintah menyebabkan Inflasi</w:t>
            </w:r>
          </w:p>
        </w:tc>
      </w:tr>
      <w:tr w:rsidR="00671C2F" w:rsidRPr="00E43253" w14:paraId="777E5F33"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0446AC3"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Inflasi → Belanja Pemerintah</w:t>
            </w:r>
          </w:p>
        </w:tc>
        <w:tc>
          <w:tcPr>
            <w:tcW w:w="0" w:type="auto"/>
            <w:tcBorders>
              <w:top w:val="nil"/>
              <w:bottom w:val="nil"/>
            </w:tcBorders>
            <w:hideMark/>
          </w:tcPr>
          <w:p w14:paraId="3BC0A504"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0,0977</w:t>
            </w:r>
          </w:p>
        </w:tc>
        <w:tc>
          <w:tcPr>
            <w:tcW w:w="0" w:type="auto"/>
            <w:tcBorders>
              <w:top w:val="nil"/>
              <w:bottom w:val="nil"/>
            </w:tcBorders>
            <w:hideMark/>
          </w:tcPr>
          <w:p w14:paraId="68874CB0"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Gagal Tolak H₀</w:t>
            </w:r>
          </w:p>
        </w:tc>
        <w:tc>
          <w:tcPr>
            <w:tcW w:w="0" w:type="auto"/>
            <w:tcBorders>
              <w:top w:val="nil"/>
              <w:bottom w:val="nil"/>
            </w:tcBorders>
            <w:hideMark/>
          </w:tcPr>
          <w:p w14:paraId="2995EBA8"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Tidak ada kausalitas</w:t>
            </w:r>
          </w:p>
        </w:tc>
      </w:tr>
      <w:tr w:rsidR="00671C2F" w:rsidRPr="00E43253" w14:paraId="048115FD"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6171932"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Pajak ↔ GDP</w:t>
            </w:r>
          </w:p>
        </w:tc>
        <w:tc>
          <w:tcPr>
            <w:tcW w:w="0" w:type="auto"/>
            <w:tcBorders>
              <w:top w:val="nil"/>
              <w:bottom w:val="nil"/>
            </w:tcBorders>
            <w:hideMark/>
          </w:tcPr>
          <w:p w14:paraId="7F2E5BC4"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0,0167 / 0,0090</w:t>
            </w:r>
          </w:p>
        </w:tc>
        <w:tc>
          <w:tcPr>
            <w:tcW w:w="0" w:type="auto"/>
            <w:tcBorders>
              <w:top w:val="nil"/>
              <w:bottom w:val="nil"/>
            </w:tcBorders>
            <w:hideMark/>
          </w:tcPr>
          <w:p w14:paraId="30836EC8"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 (dua arah)</w:t>
            </w:r>
          </w:p>
        </w:tc>
        <w:tc>
          <w:tcPr>
            <w:tcW w:w="0" w:type="auto"/>
            <w:tcBorders>
              <w:top w:val="nil"/>
              <w:bottom w:val="nil"/>
            </w:tcBorders>
            <w:hideMark/>
          </w:tcPr>
          <w:p w14:paraId="3D3DBCCF"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Kausalitas dua arah</w:t>
            </w:r>
          </w:p>
        </w:tc>
      </w:tr>
      <w:tr w:rsidR="00671C2F" w:rsidRPr="00E43253" w14:paraId="371B946D"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73534A5"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Pajak → Kurs</w:t>
            </w:r>
          </w:p>
        </w:tc>
        <w:tc>
          <w:tcPr>
            <w:tcW w:w="0" w:type="auto"/>
            <w:tcBorders>
              <w:top w:val="nil"/>
              <w:bottom w:val="nil"/>
            </w:tcBorders>
            <w:hideMark/>
          </w:tcPr>
          <w:p w14:paraId="7F317E72"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0,0057</w:t>
            </w:r>
          </w:p>
        </w:tc>
        <w:tc>
          <w:tcPr>
            <w:tcW w:w="0" w:type="auto"/>
            <w:tcBorders>
              <w:top w:val="nil"/>
              <w:bottom w:val="nil"/>
            </w:tcBorders>
            <w:hideMark/>
          </w:tcPr>
          <w:p w14:paraId="28CCD9D2"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nil"/>
            </w:tcBorders>
            <w:hideMark/>
          </w:tcPr>
          <w:p w14:paraId="55CD113F"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Pajak menyebabkan Kurs</w:t>
            </w:r>
          </w:p>
        </w:tc>
      </w:tr>
      <w:tr w:rsidR="00671C2F" w:rsidRPr="00E43253" w14:paraId="79207D5D" w14:textId="77777777" w:rsidTr="00E432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819DAB6"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Belanja Pemerintah → Kurs</w:t>
            </w:r>
          </w:p>
        </w:tc>
        <w:tc>
          <w:tcPr>
            <w:tcW w:w="0" w:type="auto"/>
            <w:tcBorders>
              <w:top w:val="nil"/>
              <w:bottom w:val="nil"/>
            </w:tcBorders>
            <w:hideMark/>
          </w:tcPr>
          <w:p w14:paraId="52E84C09"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0,0029</w:t>
            </w:r>
          </w:p>
        </w:tc>
        <w:tc>
          <w:tcPr>
            <w:tcW w:w="0" w:type="auto"/>
            <w:tcBorders>
              <w:top w:val="nil"/>
              <w:bottom w:val="nil"/>
            </w:tcBorders>
            <w:hideMark/>
          </w:tcPr>
          <w:p w14:paraId="34B9DFE5"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nil"/>
            </w:tcBorders>
            <w:hideMark/>
          </w:tcPr>
          <w:p w14:paraId="59CF19E0" w14:textId="77777777" w:rsidR="00671C2F" w:rsidRPr="00E43253" w:rsidRDefault="00671C2F" w:rsidP="00671C2F">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Belanja Pemerintah menyebabkan Kurs</w:t>
            </w:r>
          </w:p>
        </w:tc>
      </w:tr>
      <w:tr w:rsidR="00671C2F" w:rsidRPr="00E43253" w14:paraId="2A15875F" w14:textId="77777777" w:rsidTr="00E43253">
        <w:tc>
          <w:tcPr>
            <w:cnfStyle w:val="001000000000" w:firstRow="0" w:lastRow="0" w:firstColumn="1" w:lastColumn="0" w:oddVBand="0" w:evenVBand="0" w:oddHBand="0" w:evenHBand="0" w:firstRowFirstColumn="0" w:firstRowLastColumn="0" w:lastRowFirstColumn="0" w:lastRowLastColumn="0"/>
            <w:tcW w:w="0" w:type="auto"/>
            <w:tcBorders>
              <w:top w:val="nil"/>
              <w:bottom w:val="double" w:sz="4" w:space="0" w:color="auto"/>
            </w:tcBorders>
            <w:hideMark/>
          </w:tcPr>
          <w:p w14:paraId="6E765490" w14:textId="77777777" w:rsidR="00671C2F" w:rsidRPr="00E43253" w:rsidRDefault="00671C2F" w:rsidP="00671C2F">
            <w:pPr>
              <w:pStyle w:val="HTMLPreformatted"/>
              <w:ind w:left="360"/>
              <w:jc w:val="both"/>
              <w:rPr>
                <w:rFonts w:ascii="Times New Roman" w:hAnsi="Times New Roman"/>
                <w:b w:val="0"/>
                <w:bCs w:val="0"/>
                <w:color w:val="202124"/>
                <w:sz w:val="22"/>
                <w:szCs w:val="22"/>
              </w:rPr>
            </w:pPr>
            <w:r w:rsidRPr="00E43253">
              <w:rPr>
                <w:rFonts w:ascii="Times New Roman" w:hAnsi="Times New Roman"/>
                <w:b w:val="0"/>
                <w:bCs w:val="0"/>
                <w:color w:val="202124"/>
                <w:sz w:val="22"/>
                <w:szCs w:val="22"/>
              </w:rPr>
              <w:t>Belanja Pemerintah → Pajak</w:t>
            </w:r>
          </w:p>
        </w:tc>
        <w:tc>
          <w:tcPr>
            <w:tcW w:w="0" w:type="auto"/>
            <w:tcBorders>
              <w:top w:val="nil"/>
              <w:bottom w:val="double" w:sz="4" w:space="0" w:color="auto"/>
            </w:tcBorders>
            <w:hideMark/>
          </w:tcPr>
          <w:p w14:paraId="4C971B36"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0,0110</w:t>
            </w:r>
          </w:p>
        </w:tc>
        <w:tc>
          <w:tcPr>
            <w:tcW w:w="0" w:type="auto"/>
            <w:tcBorders>
              <w:top w:val="nil"/>
              <w:bottom w:val="double" w:sz="4" w:space="0" w:color="auto"/>
            </w:tcBorders>
            <w:hideMark/>
          </w:tcPr>
          <w:p w14:paraId="5BFBCD0B"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Tolak H₀</w:t>
            </w:r>
          </w:p>
        </w:tc>
        <w:tc>
          <w:tcPr>
            <w:tcW w:w="0" w:type="auto"/>
            <w:tcBorders>
              <w:top w:val="nil"/>
              <w:bottom w:val="double" w:sz="4" w:space="0" w:color="auto"/>
            </w:tcBorders>
            <w:hideMark/>
          </w:tcPr>
          <w:p w14:paraId="65F60472" w14:textId="77777777" w:rsidR="00671C2F" w:rsidRPr="00E43253" w:rsidRDefault="00671C2F" w:rsidP="00671C2F">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E43253">
              <w:rPr>
                <w:rFonts w:ascii="Times New Roman" w:hAnsi="Times New Roman"/>
                <w:color w:val="202124"/>
                <w:sz w:val="22"/>
                <w:szCs w:val="22"/>
              </w:rPr>
              <w:t>Belanja Pemerintah menyebabkan Pajak</w:t>
            </w:r>
          </w:p>
        </w:tc>
      </w:tr>
    </w:tbl>
    <w:p w14:paraId="16922EB2" w14:textId="77777777" w:rsidR="00671C2F" w:rsidRDefault="00671C2F" w:rsidP="00671C2F">
      <w:pPr>
        <w:pStyle w:val="HTMLPreformatted"/>
        <w:ind w:left="360"/>
        <w:jc w:val="both"/>
        <w:rPr>
          <w:rFonts w:ascii="Times New Roman" w:hAnsi="Times New Roman"/>
          <w:b/>
          <w:bCs/>
          <w:color w:val="202124"/>
          <w:sz w:val="22"/>
          <w:szCs w:val="22"/>
        </w:rPr>
      </w:pPr>
    </w:p>
    <w:p w14:paraId="73AA6A17" w14:textId="3DEF0B52" w:rsidR="00671C2F" w:rsidRPr="00671C2F" w:rsidRDefault="00671C2F" w:rsidP="00671C2F">
      <w:pPr>
        <w:pStyle w:val="HTMLPreformatted"/>
        <w:ind w:left="360"/>
        <w:jc w:val="both"/>
        <w:rPr>
          <w:rFonts w:ascii="Times New Roman" w:hAnsi="Times New Roman"/>
          <w:color w:val="202124"/>
          <w:sz w:val="22"/>
          <w:szCs w:val="22"/>
        </w:rPr>
      </w:pPr>
      <w:r w:rsidRPr="00671C2F">
        <w:rPr>
          <w:rFonts w:ascii="Times New Roman" w:hAnsi="Times New Roman"/>
          <w:color w:val="202124"/>
          <w:sz w:val="22"/>
          <w:szCs w:val="22"/>
        </w:rPr>
        <w:t>Catatan:</w:t>
      </w:r>
    </w:p>
    <w:p w14:paraId="6BB4ED36" w14:textId="77777777" w:rsidR="00671C2F" w:rsidRPr="00671C2F" w:rsidRDefault="00671C2F" w:rsidP="00671C2F">
      <w:pPr>
        <w:pStyle w:val="HTMLPreformatted"/>
        <w:numPr>
          <w:ilvl w:val="0"/>
          <w:numId w:val="43"/>
        </w:numPr>
        <w:jc w:val="both"/>
        <w:rPr>
          <w:rFonts w:ascii="Times New Roman" w:hAnsi="Times New Roman"/>
          <w:color w:val="202124"/>
          <w:sz w:val="22"/>
          <w:szCs w:val="22"/>
        </w:rPr>
      </w:pPr>
      <w:r w:rsidRPr="00671C2F">
        <w:rPr>
          <w:rFonts w:ascii="Times New Roman" w:hAnsi="Times New Roman"/>
          <w:color w:val="202124"/>
          <w:sz w:val="22"/>
          <w:szCs w:val="22"/>
        </w:rPr>
        <w:t>Signifikan jika Prob. &lt; 0,05</w:t>
      </w:r>
    </w:p>
    <w:p w14:paraId="16FD305F" w14:textId="77777777" w:rsidR="00671C2F" w:rsidRPr="00671C2F" w:rsidRDefault="00671C2F" w:rsidP="00671C2F">
      <w:pPr>
        <w:pStyle w:val="HTMLPreformatted"/>
        <w:numPr>
          <w:ilvl w:val="0"/>
          <w:numId w:val="43"/>
        </w:numPr>
        <w:jc w:val="both"/>
        <w:rPr>
          <w:rFonts w:ascii="Times New Roman" w:hAnsi="Times New Roman"/>
          <w:color w:val="202124"/>
          <w:sz w:val="22"/>
          <w:szCs w:val="22"/>
        </w:rPr>
      </w:pPr>
      <w:r w:rsidRPr="00671C2F">
        <w:rPr>
          <w:rFonts w:ascii="Times New Roman" w:hAnsi="Times New Roman"/>
          <w:color w:val="202124"/>
          <w:sz w:val="22"/>
          <w:szCs w:val="22"/>
        </w:rPr>
        <w:t>Mayoritas hubungan bersifat satu arah, dengan pengecualian Pajak ↔ GDP (dua arah)</w:t>
      </w:r>
    </w:p>
    <w:p w14:paraId="5C35E037" w14:textId="77777777" w:rsidR="00671C2F" w:rsidRPr="0045272C" w:rsidRDefault="00671C2F" w:rsidP="00671C2F">
      <w:pPr>
        <w:pStyle w:val="HTMLPreformatted"/>
        <w:ind w:left="360"/>
        <w:jc w:val="both"/>
        <w:rPr>
          <w:rFonts w:ascii="Times New Roman" w:hAnsi="Times New Roman"/>
          <w:color w:val="202124"/>
          <w:sz w:val="22"/>
          <w:szCs w:val="22"/>
        </w:rPr>
      </w:pPr>
    </w:p>
    <w:p w14:paraId="40EE1F01" w14:textId="15AA8BE6" w:rsidR="00671C2F" w:rsidRPr="001633C8" w:rsidRDefault="00671C2F" w:rsidP="00665287">
      <w:pPr>
        <w:pStyle w:val="HTMLPreformatted"/>
        <w:jc w:val="both"/>
        <w:rPr>
          <w:rFonts w:ascii="Times New Roman" w:hAnsi="Times New Roman"/>
          <w:color w:val="202124"/>
          <w:sz w:val="22"/>
          <w:szCs w:val="22"/>
        </w:rPr>
      </w:pPr>
      <w:proofErr w:type="gramStart"/>
      <w:r w:rsidRPr="00671C2F">
        <w:rPr>
          <w:rFonts w:ascii="Times New Roman" w:hAnsi="Times New Roman"/>
          <w:color w:val="202124"/>
          <w:sz w:val="22"/>
          <w:szCs w:val="22"/>
        </w:rPr>
        <w:t xml:space="preserve">Hasil uji Kausalitas Granger menunjukkan bahwa terdapat beberapa hubungan kausalitas yang signifikan </w:t>
      </w:r>
      <w:r w:rsidRPr="001633C8">
        <w:rPr>
          <w:rFonts w:ascii="Times New Roman" w:hAnsi="Times New Roman"/>
          <w:color w:val="202124"/>
          <w:sz w:val="22"/>
          <w:szCs w:val="22"/>
        </w:rPr>
        <w:t>antar variabel dalam model.</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Pada tingkat signifikansi 5 persen, ditemukan bahwa inflasi secara statistik menyebabkan tingkat pengangguran, sementara arah sebaliknya tidak terbukti signifikan</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"/>
          <w:id w:val="240371717"/>
          <w:placeholder>
            <w:docPart w:val="DefaultPlaceholder_-1854013440"/>
          </w:placeholder>
        </w:sdtPr>
        <w:sdtContent>
          <w:r w:rsidR="00B00617" w:rsidRPr="00B00617">
            <w:rPr>
              <w:rFonts w:ascii="Times New Roman" w:hAnsi="Times New Roman"/>
              <w:color w:val="202124"/>
              <w:sz w:val="22"/>
            </w:rPr>
            <w:t>(Juneldi &amp; Sentosa, 2022)</w:t>
          </w:r>
        </w:sdtContent>
      </w:sdt>
      <w:r w:rsidRPr="001633C8">
        <w:rPr>
          <w:rFonts w:ascii="Times New Roman" w:hAnsi="Times New Roman"/>
          <w:color w:val="202124"/>
          <w:sz w:val="22"/>
          <w:szCs w:val="22"/>
        </w:rPr>
        <w:t>.</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Temuan ini mengindikasikan bahwa perubahan inflasi pada periode sebelumnya memiliki daya prediksi terhadap kondisi pasar tenaga kerja di Indonesia</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"/>
          <w:id w:val="2130813350"/>
          <w:placeholder>
            <w:docPart w:val="DefaultPlaceholder_-1854013440"/>
          </w:placeholder>
        </w:sdtPr>
        <w:sdtContent>
          <w:r w:rsidR="00B00617" w:rsidRPr="00B00617">
            <w:rPr>
              <w:rFonts w:ascii="Times New Roman" w:hAnsi="Times New Roman"/>
              <w:color w:val="202124"/>
              <w:sz w:val="22"/>
              <w:szCs w:val="22"/>
            </w:rPr>
            <w:t>(IMF, 2024b)</w:t>
          </w:r>
        </w:sdtContent>
      </w:sdt>
      <w:r w:rsidRPr="001633C8">
        <w:rPr>
          <w:rFonts w:ascii="Times New Roman" w:hAnsi="Times New Roman"/>
          <w:color w:val="202124"/>
          <w:sz w:val="22"/>
          <w:szCs w:val="22"/>
        </w:rPr>
        <w:t>.</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Selanjutnya, hasil pengujian juga menunjukkan bahwa kebijakan moneter yang diproksikan melalui BI Rate memiliki hubungan kausalitas satu arah terhadap pengangguran dan inflasi</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"/>
          <w:id w:val="256800788"/>
          <w:placeholder>
            <w:docPart w:val="DefaultPlaceholder_-1854013440"/>
          </w:placeholder>
        </w:sdtPr>
        <w:sdtContent>
          <w:r w:rsidR="00B00617" w:rsidRPr="00B00617">
            <w:rPr>
              <w:rFonts w:ascii="Times New Roman" w:hAnsi="Times New Roman"/>
              <w:color w:val="202124"/>
              <w:sz w:val="22"/>
            </w:rPr>
            <w:t>(Beranke &amp; Blirder, 1990)</w:t>
          </w:r>
        </w:sdtContent>
      </w:sdt>
      <w:r w:rsidRPr="001633C8">
        <w:rPr>
          <w:rFonts w:ascii="Times New Roman" w:hAnsi="Times New Roman"/>
          <w:color w:val="202124"/>
          <w:sz w:val="22"/>
          <w:szCs w:val="22"/>
        </w:rPr>
        <w:t>.</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Hal ini menegaskan bahwa perubahan suku bunga kebijakan Bank Indonesia berperan penting dalam memengaruhi stabilitas harga dan kondisi ketenagakerjaan, namun tidak ditemukan bukti bahwa inflasi maupun pengangguran secara langsung memengaruhi penetapan BI Rate dalam periode pengamatan</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"/>
          <w:id w:val="-1368059422"/>
          <w:placeholder>
            <w:docPart w:val="DefaultPlaceholder_-1854013440"/>
          </w:placeholder>
        </w:sdtPr>
        <w:sdtContent>
          <w:r w:rsidR="00B00617" w:rsidRPr="00B00617">
            <w:rPr>
              <w:rFonts w:ascii="Times New Roman" w:hAnsi="Times New Roman"/>
              <w:color w:val="202124"/>
              <w:sz w:val="22"/>
              <w:szCs w:val="22"/>
            </w:rPr>
            <w:t>(Barro, 1988)</w:t>
          </w:r>
        </w:sdtContent>
      </w:sdt>
      <w:r w:rsidRPr="001633C8">
        <w:rPr>
          <w:rFonts w:ascii="Times New Roman" w:hAnsi="Times New Roman"/>
          <w:color w:val="202124"/>
          <w:sz w:val="22"/>
          <w:szCs w:val="22"/>
        </w:rPr>
        <w:t>.</w:t>
      </w:r>
      <w:proofErr w:type="gramEnd"/>
    </w:p>
    <w:p w14:paraId="66CE102D" w14:textId="32AFD2F4" w:rsidR="001633C8" w:rsidRDefault="00671C2F" w:rsidP="00665287">
      <w:pPr>
        <w:pStyle w:val="HTMLPreformatted"/>
        <w:jc w:val="both"/>
        <w:rPr>
          <w:rFonts w:ascii="Times New Roman" w:hAnsi="Times New Roman"/>
          <w:color w:val="202124"/>
          <w:sz w:val="22"/>
          <w:szCs w:val="22"/>
        </w:rPr>
      </w:pPr>
      <w:proofErr w:type="gramStart"/>
      <w:r w:rsidRPr="001633C8">
        <w:rPr>
          <w:rFonts w:ascii="Times New Roman" w:hAnsi="Times New Roman"/>
          <w:color w:val="202124"/>
          <w:sz w:val="22"/>
          <w:szCs w:val="22"/>
        </w:rPr>
        <w:t>Selain itu, variabel eksternal dan fiskal juga menunjukkan peran yang signifikan.</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 xml:space="preserve">Nilai tukar (kurs) terbukti menyebabkan inflasi, yang mencerminkan adanya mekanisme </w:t>
      </w:r>
      <w:r w:rsidRPr="001633C8">
        <w:rPr>
          <w:rFonts w:ascii="Times New Roman" w:hAnsi="Times New Roman"/>
          <w:i/>
          <w:iCs/>
          <w:color w:val="202124"/>
          <w:sz w:val="22"/>
          <w:szCs w:val="22"/>
        </w:rPr>
        <w:t>exchange rate pass-through</w:t>
      </w:r>
      <w:r w:rsidRPr="001633C8">
        <w:rPr>
          <w:rFonts w:ascii="Times New Roman" w:hAnsi="Times New Roman"/>
          <w:color w:val="202124"/>
          <w:sz w:val="22"/>
          <w:szCs w:val="22"/>
        </w:rPr>
        <w:t xml:space="preserve"> </w:t>
      </w:r>
      <w:r w:rsidRPr="001633C8">
        <w:rPr>
          <w:rFonts w:ascii="Times New Roman" w:hAnsi="Times New Roman"/>
          <w:color w:val="202124"/>
          <w:sz w:val="22"/>
          <w:szCs w:val="22"/>
        </w:rPr>
        <w:lastRenderedPageBreak/>
        <w:t>dalam perekonomian Indonesia</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"/>
          <w:id w:val="918452027"/>
          <w:placeholder>
            <w:docPart w:val="DefaultPlaceholder_-1854013440"/>
          </w:placeholder>
        </w:sdtPr>
        <w:sdtContent>
          <w:r w:rsidR="00B00617" w:rsidRPr="00B00617">
            <w:rPr>
              <w:rFonts w:ascii="Times New Roman" w:hAnsi="Times New Roman"/>
              <w:color w:val="202124"/>
              <w:sz w:val="22"/>
              <w:szCs w:val="22"/>
            </w:rPr>
            <w:t>(Sargent, 1981)</w:t>
          </w:r>
        </w:sdtContent>
      </w:sdt>
      <w:r w:rsidRPr="001633C8">
        <w:rPr>
          <w:rFonts w:ascii="Times New Roman" w:hAnsi="Times New Roman"/>
          <w:color w:val="202124"/>
          <w:sz w:val="22"/>
          <w:szCs w:val="22"/>
        </w:rPr>
        <w:t>.</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Di sisi fiskal, pajak dan belanja pemerintah memiliki hubungan kausalitas satu arah terhadap inflasi, yang mengindikasikan bahwa kebijakan fiskal turut berkontribusi terhadap dinamika harga</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"/>
          <w:id w:val="1541941745"/>
          <w:placeholder>
            <w:docPart w:val="DefaultPlaceholder_-1854013440"/>
          </w:placeholder>
        </w:sdtPr>
        <w:sdtContent>
          <w:r w:rsidR="00B00617" w:rsidRPr="00B00617">
            <w:rPr>
              <w:rFonts w:ascii="Times New Roman" w:hAnsi="Times New Roman"/>
              <w:color w:val="202124"/>
              <w:sz w:val="22"/>
              <w:szCs w:val="22"/>
            </w:rPr>
            <w:t>(Sriyana, 2022)</w:t>
          </w:r>
        </w:sdtContent>
      </w:sdt>
      <w:r w:rsidRPr="001633C8">
        <w:rPr>
          <w:rFonts w:ascii="Times New Roman" w:hAnsi="Times New Roman"/>
          <w:color w:val="202124"/>
          <w:sz w:val="22"/>
          <w:szCs w:val="22"/>
        </w:rPr>
        <w:t>.</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Hasil uji kausalitas juga menemukan adanya hubungan dua arah antara pajak dan pertumbuhan GDP, yang menunjukkan bahwa peningkatan penerimaan pajak dan pertumbuhan ekonomi saling memengaruhi secara dinamis</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"/>
          <w:id w:val="1242765426"/>
          <w:placeholder>
            <w:docPart w:val="DefaultPlaceholder_-1854013440"/>
          </w:placeholder>
        </w:sdtPr>
        <w:sdtContent>
          <w:r w:rsidR="00B00617" w:rsidRPr="00B00617">
            <w:rPr>
              <w:rFonts w:ascii="Times New Roman" w:hAnsi="Times New Roman"/>
              <w:color w:val="202124"/>
              <w:sz w:val="22"/>
              <w:szCs w:val="22"/>
            </w:rPr>
            <w:t>(Mael et al., 2021)</w:t>
          </w:r>
        </w:sdtContent>
      </w:sdt>
      <w:r w:rsidRPr="001633C8">
        <w:rPr>
          <w:rFonts w:ascii="Times New Roman" w:hAnsi="Times New Roman"/>
          <w:color w:val="202124"/>
          <w:sz w:val="22"/>
          <w:szCs w:val="22"/>
        </w:rPr>
        <w:t>.</w:t>
      </w:r>
      <w:proofErr w:type="gramEnd"/>
      <w:r w:rsidRPr="001633C8">
        <w:rPr>
          <w:rFonts w:ascii="Times New Roman" w:hAnsi="Times New Roman"/>
          <w:color w:val="202124"/>
          <w:sz w:val="22"/>
          <w:szCs w:val="22"/>
        </w:rPr>
        <w:t xml:space="preserve"> </w:t>
      </w:r>
      <w:proofErr w:type="gramStart"/>
      <w:r w:rsidRPr="001633C8">
        <w:rPr>
          <w:rFonts w:ascii="Times New Roman" w:hAnsi="Times New Roman"/>
          <w:color w:val="202124"/>
          <w:sz w:val="22"/>
          <w:szCs w:val="22"/>
        </w:rPr>
        <w:t>Sementara itu, belanja pemerintah terbukti memiliki hubungan kausal terhadap kurs dan pajak, yang mencerminkan peran kebijakan fiskal dalam memengaruhi stabilitas eksternal dan struktur penerimaan negara</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"/>
          <w:id w:val="1107241444"/>
          <w:placeholder>
            <w:docPart w:val="DefaultPlaceholder_-1854013440"/>
          </w:placeholder>
        </w:sdtPr>
        <w:sdtContent>
          <w:r w:rsidR="00B00617" w:rsidRPr="00B00617">
            <w:rPr>
              <w:rFonts w:ascii="Times New Roman" w:hAnsi="Times New Roman"/>
              <w:color w:val="202124"/>
              <w:sz w:val="22"/>
            </w:rPr>
            <w:t>(Warjiyo &amp; Juhro, 2021)</w:t>
          </w:r>
        </w:sdtContent>
      </w:sdt>
      <w:r w:rsidRPr="001633C8">
        <w:rPr>
          <w:rFonts w:ascii="Times New Roman" w:hAnsi="Times New Roman"/>
          <w:color w:val="202124"/>
          <w:sz w:val="22"/>
          <w:szCs w:val="22"/>
        </w:rPr>
        <w:t>.</w:t>
      </w:r>
      <w:proofErr w:type="gramEnd"/>
      <w:r w:rsidRPr="001633C8">
        <w:rPr>
          <w:rFonts w:ascii="Times New Roman" w:hAnsi="Times New Roman"/>
          <w:color w:val="202124"/>
          <w:sz w:val="22"/>
          <w:szCs w:val="22"/>
        </w:rPr>
        <w:t xml:space="preserve"> Secara keseluruhan, temuan ini menunjukkan bahwa interaksi kebijakan moneter dan fiskal di Indonesia bersifat kompleks dan saling melengkapi, di mana kebijakan moneter lebih dominan dalam memengaruhi inflasi dan pengangguran</w:t>
      </w:r>
      <w:r w:rsidRPr="00671C2F">
        <w:rPr>
          <w:rFonts w:ascii="Times New Roman" w:hAnsi="Times New Roman"/>
          <w:color w:val="202124"/>
          <w:sz w:val="22"/>
          <w:szCs w:val="22"/>
        </w:rPr>
        <w:t xml:space="preserve">, sementara kebijakan fiskal berperan melalui jalur inflasi, kurs, dan </w:t>
      </w:r>
      <w:r w:rsidRPr="001633C8">
        <w:rPr>
          <w:rFonts w:ascii="Times New Roman" w:hAnsi="Times New Roman"/>
          <w:color w:val="202124"/>
          <w:sz w:val="22"/>
          <w:szCs w:val="22"/>
        </w:rPr>
        <w:t>pertumbuhan ekonomi</w:t>
      </w:r>
      <w:r w:rsidR="00AD7757">
        <w:rPr>
          <w:rFonts w:ascii="Times New Roman" w:hAnsi="Times New Roman"/>
          <w:color w:val="202124"/>
          <w:sz w:val="22"/>
          <w:szCs w:val="22"/>
        </w:rPr>
        <w:t xml:space="preserve"> </w:t>
      </w:r>
      <w:sdt>
        <w:sdtPr>
          <w:rPr>
            <w:rFonts w:ascii="Times New Roman" w:hAnsi="Times New Roman"/>
            <w:color w:val="202124"/>
            <w:sz w:val="22"/>
            <w:szCs w:val="22"/>
          </w:rPr>
          <w:tag w:val="MENDELEY_CITATION_v3_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"/>
          <w:id w:val="1012808906"/>
          <w:placeholder>
            <w:docPart w:val="DefaultPlaceholder_-1854013440"/>
          </w:placeholder>
        </w:sdtPr>
        <w:sdtContent>
          <w:r w:rsidR="00B00617" w:rsidRPr="00B00617">
            <w:rPr>
              <w:rFonts w:ascii="Times New Roman" w:hAnsi="Times New Roman"/>
              <w:color w:val="202124"/>
              <w:sz w:val="22"/>
            </w:rPr>
            <w:t>(Afonso &amp; Sousa, 2012)</w:t>
          </w:r>
        </w:sdtContent>
      </w:sdt>
      <w:r w:rsidRPr="001633C8">
        <w:rPr>
          <w:rFonts w:ascii="Times New Roman" w:hAnsi="Times New Roman"/>
          <w:color w:val="202124"/>
          <w:sz w:val="22"/>
          <w:szCs w:val="22"/>
        </w:rPr>
        <w:t>.</w:t>
      </w:r>
    </w:p>
    <w:p w14:paraId="3E5E0BB0" w14:textId="77777777" w:rsidR="00AD7757" w:rsidRPr="001633C8" w:rsidRDefault="00AD7757" w:rsidP="001633C8">
      <w:pPr>
        <w:pStyle w:val="HTMLPreformatted"/>
        <w:ind w:left="360"/>
        <w:jc w:val="both"/>
        <w:rPr>
          <w:rFonts w:ascii="Times New Roman" w:hAnsi="Times New Roman"/>
          <w:color w:val="202124"/>
          <w:sz w:val="22"/>
          <w:szCs w:val="22"/>
        </w:rPr>
      </w:pPr>
    </w:p>
    <w:p w14:paraId="23D2E335" w14:textId="1124CE28" w:rsidR="00827347" w:rsidRPr="00665287" w:rsidRDefault="001633C8" w:rsidP="00665287">
      <w:pPr>
        <w:pStyle w:val="HTMLPreformatted"/>
        <w:jc w:val="both"/>
        <w:rPr>
          <w:rFonts w:ascii="Times New Roman" w:hAnsi="Times New Roman"/>
          <w:b/>
          <w:color w:val="202124"/>
          <w:sz w:val="22"/>
          <w:szCs w:val="22"/>
        </w:rPr>
      </w:pPr>
      <w:r w:rsidRPr="00665287">
        <w:rPr>
          <w:rFonts w:ascii="Times New Roman" w:hAnsi="Times New Roman"/>
          <w:b/>
          <w:color w:val="202124"/>
          <w:sz w:val="22"/>
          <w:szCs w:val="22"/>
        </w:rPr>
        <w:t>Lag Optimal &amp; Stabilitas VAR</w:t>
      </w:r>
    </w:p>
    <w:p w14:paraId="32C22BA1" w14:textId="7B9E01F7" w:rsidR="001633C8" w:rsidRPr="00665287" w:rsidRDefault="00067EAA" w:rsidP="00665287">
      <w:pPr>
        <w:pStyle w:val="HTMLPreformatted"/>
        <w:rPr>
          <w:rFonts w:ascii="Times New Roman" w:hAnsi="Times New Roman"/>
          <w:b/>
          <w:color w:val="202124"/>
          <w:sz w:val="22"/>
          <w:szCs w:val="22"/>
        </w:rPr>
      </w:pPr>
      <w:proofErr w:type="gramStart"/>
      <w:r w:rsidRPr="00665287">
        <w:rPr>
          <w:rFonts w:ascii="Times New Roman" w:hAnsi="Times New Roman"/>
          <w:b/>
          <w:color w:val="202124"/>
          <w:sz w:val="22"/>
          <w:szCs w:val="22"/>
        </w:rPr>
        <w:t xml:space="preserve">Tabel </w:t>
      </w:r>
      <w:r w:rsidR="0045272C" w:rsidRPr="00665287">
        <w:rPr>
          <w:rFonts w:ascii="Times New Roman" w:hAnsi="Times New Roman"/>
          <w:b/>
          <w:color w:val="202124"/>
          <w:sz w:val="22"/>
          <w:szCs w:val="22"/>
        </w:rPr>
        <w:t>4.</w:t>
      </w:r>
      <w:proofErr w:type="gramEnd"/>
      <w:r w:rsidR="00665287" w:rsidRPr="00665287">
        <w:rPr>
          <w:rFonts w:ascii="Times New Roman" w:hAnsi="Times New Roman"/>
          <w:b/>
          <w:color w:val="202124"/>
          <w:sz w:val="22"/>
          <w:szCs w:val="22"/>
        </w:rPr>
        <w:t xml:space="preserve"> </w:t>
      </w:r>
      <w:r w:rsidRPr="00665287">
        <w:rPr>
          <w:rFonts w:ascii="Times New Roman" w:hAnsi="Times New Roman"/>
          <w:b/>
          <w:color w:val="202124"/>
          <w:sz w:val="22"/>
          <w:szCs w:val="22"/>
        </w:rPr>
        <w:t>Ringkasan Lag Optimal VAR</w:t>
      </w:r>
    </w:p>
    <w:tbl>
      <w:tblPr>
        <w:tblStyle w:val="PlainTable21"/>
        <w:tblW w:w="9129" w:type="dxa"/>
        <w:tblBorders>
          <w:top w:val="none" w:sz="0" w:space="0" w:color="auto"/>
          <w:bottom w:val="double" w:sz="4" w:space="0" w:color="auto"/>
        </w:tblBorders>
        <w:tblLook w:val="04A0" w:firstRow="1" w:lastRow="0" w:firstColumn="1" w:lastColumn="0" w:noHBand="0" w:noVBand="1"/>
      </w:tblPr>
      <w:tblGrid>
        <w:gridCol w:w="6209"/>
        <w:gridCol w:w="2920"/>
      </w:tblGrid>
      <w:tr w:rsidR="00067EAA" w:rsidRPr="00067EAA" w14:paraId="1CE913C9" w14:textId="77777777" w:rsidTr="00E43253">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left w:val="nil"/>
              <w:bottom w:val="double" w:sz="4" w:space="0" w:color="auto"/>
              <w:right w:val="nil"/>
            </w:tcBorders>
            <w:hideMark/>
          </w:tcPr>
          <w:p w14:paraId="02DB1F4A" w14:textId="77777777" w:rsidR="00067EAA" w:rsidRPr="00067EAA" w:rsidRDefault="00067EAA" w:rsidP="00067EAA">
            <w:pPr>
              <w:pStyle w:val="HTMLPreformatted"/>
              <w:ind w:left="360"/>
              <w:rPr>
                <w:rFonts w:ascii="Times New Roman" w:hAnsi="Times New Roman"/>
                <w:color w:val="202124"/>
                <w:sz w:val="22"/>
                <w:szCs w:val="22"/>
              </w:rPr>
            </w:pPr>
            <w:r w:rsidRPr="00067EAA">
              <w:rPr>
                <w:rFonts w:ascii="Times New Roman" w:hAnsi="Times New Roman"/>
                <w:color w:val="202124"/>
                <w:sz w:val="22"/>
                <w:szCs w:val="22"/>
              </w:rPr>
              <w:t>Kriteria Informasi</w:t>
            </w:r>
          </w:p>
        </w:tc>
        <w:tc>
          <w:tcPr>
            <w:tcW w:w="0" w:type="auto"/>
            <w:tcBorders>
              <w:top w:val="double" w:sz="4" w:space="0" w:color="auto"/>
              <w:left w:val="nil"/>
              <w:bottom w:val="double" w:sz="4" w:space="0" w:color="auto"/>
              <w:right w:val="nil"/>
            </w:tcBorders>
            <w:hideMark/>
          </w:tcPr>
          <w:p w14:paraId="2B4BFB01" w14:textId="77777777" w:rsidR="00067EAA" w:rsidRPr="00067EAA" w:rsidRDefault="00067EAA" w:rsidP="00067EAA">
            <w:pPr>
              <w:pStyle w:val="HTMLPreformatted"/>
              <w:ind w:left="360"/>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067EAA">
              <w:rPr>
                <w:rFonts w:ascii="Times New Roman" w:hAnsi="Times New Roman"/>
                <w:color w:val="202124"/>
                <w:sz w:val="22"/>
                <w:szCs w:val="22"/>
              </w:rPr>
              <w:t>Lag Terpilih</w:t>
            </w:r>
          </w:p>
        </w:tc>
      </w:tr>
      <w:tr w:rsidR="00067EAA" w:rsidRPr="00067EAA" w14:paraId="72CE19D6" w14:textId="77777777" w:rsidTr="00E4325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none" w:sz="0" w:space="0" w:color="auto"/>
            </w:tcBorders>
            <w:hideMark/>
          </w:tcPr>
          <w:p w14:paraId="34A8B5E6" w14:textId="77777777" w:rsidR="00067EAA" w:rsidRPr="00067EAA" w:rsidRDefault="00067EAA" w:rsidP="00067EAA">
            <w:pPr>
              <w:pStyle w:val="HTMLPreformatted"/>
              <w:ind w:left="360"/>
              <w:rPr>
                <w:rFonts w:ascii="Times New Roman" w:hAnsi="Times New Roman"/>
                <w:b w:val="0"/>
                <w:bCs w:val="0"/>
                <w:color w:val="202124"/>
                <w:sz w:val="22"/>
                <w:szCs w:val="22"/>
              </w:rPr>
            </w:pPr>
            <w:r w:rsidRPr="00067EAA">
              <w:rPr>
                <w:rFonts w:ascii="Times New Roman" w:hAnsi="Times New Roman"/>
                <w:b w:val="0"/>
                <w:bCs w:val="0"/>
                <w:color w:val="202124"/>
                <w:sz w:val="22"/>
                <w:szCs w:val="22"/>
              </w:rPr>
              <w:t>Likelihood Ratio (LR)</w:t>
            </w:r>
          </w:p>
        </w:tc>
        <w:tc>
          <w:tcPr>
            <w:tcW w:w="0" w:type="auto"/>
            <w:tcBorders>
              <w:top w:val="double" w:sz="4" w:space="0" w:color="auto"/>
              <w:bottom w:val="none" w:sz="0" w:space="0" w:color="auto"/>
            </w:tcBorders>
            <w:hideMark/>
          </w:tcPr>
          <w:p w14:paraId="47571504" w14:textId="77777777" w:rsidR="00067EAA" w:rsidRPr="00067EAA" w:rsidRDefault="00067EAA" w:rsidP="00067EAA">
            <w:pPr>
              <w:pStyle w:val="HTMLPreformatted"/>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067EAA">
              <w:rPr>
                <w:rFonts w:ascii="Times New Roman" w:hAnsi="Times New Roman"/>
                <w:color w:val="202124"/>
                <w:sz w:val="22"/>
                <w:szCs w:val="22"/>
              </w:rPr>
              <w:t>Lag 2</w:t>
            </w:r>
          </w:p>
        </w:tc>
      </w:tr>
      <w:tr w:rsidR="00067EAA" w:rsidRPr="00067EAA" w14:paraId="45EE6812" w14:textId="77777777" w:rsidTr="00E43253">
        <w:trPr>
          <w:trHeight w:val="259"/>
        </w:trPr>
        <w:tc>
          <w:tcPr>
            <w:cnfStyle w:val="001000000000" w:firstRow="0" w:lastRow="0" w:firstColumn="1" w:lastColumn="0" w:oddVBand="0" w:evenVBand="0" w:oddHBand="0" w:evenHBand="0" w:firstRowFirstColumn="0" w:firstRowLastColumn="0" w:lastRowFirstColumn="0" w:lastRowLastColumn="0"/>
            <w:tcW w:w="0" w:type="auto"/>
            <w:hideMark/>
          </w:tcPr>
          <w:p w14:paraId="67C20959" w14:textId="77777777" w:rsidR="00067EAA" w:rsidRPr="00067EAA" w:rsidRDefault="00067EAA" w:rsidP="00067EAA">
            <w:pPr>
              <w:pStyle w:val="HTMLPreformatted"/>
              <w:ind w:left="360"/>
              <w:rPr>
                <w:rFonts w:ascii="Times New Roman" w:hAnsi="Times New Roman"/>
                <w:b w:val="0"/>
                <w:bCs w:val="0"/>
                <w:color w:val="202124"/>
                <w:sz w:val="22"/>
                <w:szCs w:val="22"/>
              </w:rPr>
            </w:pPr>
            <w:r w:rsidRPr="00067EAA">
              <w:rPr>
                <w:rFonts w:ascii="Times New Roman" w:hAnsi="Times New Roman"/>
                <w:b w:val="0"/>
                <w:bCs w:val="0"/>
                <w:color w:val="202124"/>
                <w:sz w:val="22"/>
                <w:szCs w:val="22"/>
              </w:rPr>
              <w:t>Final Prediction Error (FPE)</w:t>
            </w:r>
          </w:p>
        </w:tc>
        <w:tc>
          <w:tcPr>
            <w:tcW w:w="0" w:type="auto"/>
            <w:hideMark/>
          </w:tcPr>
          <w:p w14:paraId="19ED76AC" w14:textId="77777777" w:rsidR="00067EAA" w:rsidRPr="00067EAA" w:rsidRDefault="00067EAA" w:rsidP="00067EAA">
            <w:pPr>
              <w:pStyle w:val="HTMLPreformatted"/>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067EAA">
              <w:rPr>
                <w:rFonts w:ascii="Times New Roman" w:hAnsi="Times New Roman"/>
                <w:color w:val="202124"/>
                <w:sz w:val="22"/>
                <w:szCs w:val="22"/>
              </w:rPr>
              <w:t>Lag 2</w:t>
            </w:r>
          </w:p>
        </w:tc>
      </w:tr>
      <w:tr w:rsidR="00067EAA" w:rsidRPr="00067EAA" w14:paraId="35667F00" w14:textId="77777777" w:rsidTr="00E4325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661B4E3B" w14:textId="77777777" w:rsidR="00067EAA" w:rsidRPr="00067EAA" w:rsidRDefault="00067EAA" w:rsidP="00067EAA">
            <w:pPr>
              <w:pStyle w:val="HTMLPreformatted"/>
              <w:ind w:left="360"/>
              <w:rPr>
                <w:rFonts w:ascii="Times New Roman" w:hAnsi="Times New Roman"/>
                <w:b w:val="0"/>
                <w:bCs w:val="0"/>
                <w:color w:val="202124"/>
                <w:sz w:val="22"/>
                <w:szCs w:val="22"/>
              </w:rPr>
            </w:pPr>
            <w:r w:rsidRPr="00067EAA">
              <w:rPr>
                <w:rFonts w:ascii="Times New Roman" w:hAnsi="Times New Roman"/>
                <w:b w:val="0"/>
                <w:bCs w:val="0"/>
                <w:color w:val="202124"/>
                <w:sz w:val="22"/>
                <w:szCs w:val="22"/>
              </w:rPr>
              <w:t>Akaike Information Criterion (AIC)</w:t>
            </w:r>
          </w:p>
        </w:tc>
        <w:tc>
          <w:tcPr>
            <w:tcW w:w="0" w:type="auto"/>
            <w:tcBorders>
              <w:top w:val="none" w:sz="0" w:space="0" w:color="auto"/>
              <w:bottom w:val="none" w:sz="0" w:space="0" w:color="auto"/>
            </w:tcBorders>
            <w:hideMark/>
          </w:tcPr>
          <w:p w14:paraId="40952984" w14:textId="77777777" w:rsidR="00067EAA" w:rsidRPr="00067EAA" w:rsidRDefault="00067EAA" w:rsidP="00067EAA">
            <w:pPr>
              <w:pStyle w:val="HTMLPreformatted"/>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067EAA">
              <w:rPr>
                <w:rFonts w:ascii="Times New Roman" w:hAnsi="Times New Roman"/>
                <w:color w:val="202124"/>
                <w:sz w:val="22"/>
                <w:szCs w:val="22"/>
              </w:rPr>
              <w:t>Lag 2</w:t>
            </w:r>
          </w:p>
        </w:tc>
      </w:tr>
      <w:tr w:rsidR="00067EAA" w:rsidRPr="00067EAA" w14:paraId="40CCE07A" w14:textId="77777777" w:rsidTr="00E43253">
        <w:trPr>
          <w:trHeight w:val="259"/>
        </w:trPr>
        <w:tc>
          <w:tcPr>
            <w:cnfStyle w:val="001000000000" w:firstRow="0" w:lastRow="0" w:firstColumn="1" w:lastColumn="0" w:oddVBand="0" w:evenVBand="0" w:oddHBand="0" w:evenHBand="0" w:firstRowFirstColumn="0" w:firstRowLastColumn="0" w:lastRowFirstColumn="0" w:lastRowLastColumn="0"/>
            <w:tcW w:w="0" w:type="auto"/>
            <w:hideMark/>
          </w:tcPr>
          <w:p w14:paraId="3822F8DE" w14:textId="77777777" w:rsidR="00067EAA" w:rsidRPr="00067EAA" w:rsidRDefault="00067EAA" w:rsidP="00067EAA">
            <w:pPr>
              <w:pStyle w:val="HTMLPreformatted"/>
              <w:ind w:left="360"/>
              <w:rPr>
                <w:rFonts w:ascii="Times New Roman" w:hAnsi="Times New Roman"/>
                <w:b w:val="0"/>
                <w:bCs w:val="0"/>
                <w:color w:val="202124"/>
                <w:sz w:val="22"/>
                <w:szCs w:val="22"/>
              </w:rPr>
            </w:pPr>
            <w:r w:rsidRPr="00067EAA">
              <w:rPr>
                <w:rFonts w:ascii="Times New Roman" w:hAnsi="Times New Roman"/>
                <w:b w:val="0"/>
                <w:bCs w:val="0"/>
                <w:color w:val="202124"/>
                <w:sz w:val="22"/>
                <w:szCs w:val="22"/>
              </w:rPr>
              <w:t>Schwarz Information Criterion (SC)</w:t>
            </w:r>
          </w:p>
        </w:tc>
        <w:tc>
          <w:tcPr>
            <w:tcW w:w="0" w:type="auto"/>
            <w:hideMark/>
          </w:tcPr>
          <w:p w14:paraId="30B23CA2" w14:textId="77777777" w:rsidR="00067EAA" w:rsidRPr="00067EAA" w:rsidRDefault="00067EAA" w:rsidP="00067EAA">
            <w:pPr>
              <w:pStyle w:val="HTMLPreformatted"/>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067EAA">
              <w:rPr>
                <w:rFonts w:ascii="Times New Roman" w:hAnsi="Times New Roman"/>
                <w:color w:val="202124"/>
                <w:sz w:val="22"/>
                <w:szCs w:val="22"/>
              </w:rPr>
              <w:t>Lag 2</w:t>
            </w:r>
          </w:p>
        </w:tc>
      </w:tr>
      <w:tr w:rsidR="00067EAA" w:rsidRPr="00067EAA" w14:paraId="7B641201" w14:textId="77777777" w:rsidTr="00E4325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0ECC890E" w14:textId="77777777" w:rsidR="00067EAA" w:rsidRPr="00067EAA" w:rsidRDefault="00067EAA" w:rsidP="00067EAA">
            <w:pPr>
              <w:pStyle w:val="HTMLPreformatted"/>
              <w:ind w:left="360"/>
              <w:rPr>
                <w:rFonts w:ascii="Times New Roman" w:hAnsi="Times New Roman"/>
                <w:b w:val="0"/>
                <w:bCs w:val="0"/>
                <w:color w:val="202124"/>
                <w:sz w:val="22"/>
                <w:szCs w:val="22"/>
              </w:rPr>
            </w:pPr>
            <w:r w:rsidRPr="00067EAA">
              <w:rPr>
                <w:rFonts w:ascii="Times New Roman" w:hAnsi="Times New Roman"/>
                <w:b w:val="0"/>
                <w:bCs w:val="0"/>
                <w:color w:val="202124"/>
                <w:sz w:val="22"/>
                <w:szCs w:val="22"/>
              </w:rPr>
              <w:t>Hannan–Quinn Criterion (HQ)</w:t>
            </w:r>
          </w:p>
        </w:tc>
        <w:tc>
          <w:tcPr>
            <w:tcW w:w="0" w:type="auto"/>
            <w:tcBorders>
              <w:top w:val="none" w:sz="0" w:space="0" w:color="auto"/>
              <w:bottom w:val="none" w:sz="0" w:space="0" w:color="auto"/>
            </w:tcBorders>
            <w:hideMark/>
          </w:tcPr>
          <w:p w14:paraId="57B2A4AB" w14:textId="77777777" w:rsidR="00067EAA" w:rsidRPr="00067EAA" w:rsidRDefault="00067EAA" w:rsidP="00067EAA">
            <w:pPr>
              <w:pStyle w:val="HTMLPreformatted"/>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067EAA">
              <w:rPr>
                <w:rFonts w:ascii="Times New Roman" w:hAnsi="Times New Roman"/>
                <w:color w:val="202124"/>
                <w:sz w:val="22"/>
                <w:szCs w:val="22"/>
              </w:rPr>
              <w:t>Lag 2</w:t>
            </w:r>
          </w:p>
        </w:tc>
      </w:tr>
    </w:tbl>
    <w:p w14:paraId="5B9B0A5D" w14:textId="5DE1F077" w:rsidR="00067EAA" w:rsidRPr="00067EAA" w:rsidRDefault="00067EAA" w:rsidP="00067EAA">
      <w:pPr>
        <w:pStyle w:val="HTMLPreformatted"/>
        <w:ind w:left="360"/>
        <w:rPr>
          <w:rFonts w:ascii="Times New Roman" w:hAnsi="Times New Roman"/>
          <w:color w:val="202124"/>
          <w:sz w:val="22"/>
          <w:szCs w:val="22"/>
        </w:rPr>
      </w:pPr>
      <w:r w:rsidRPr="00067EAA">
        <w:rPr>
          <w:rFonts w:ascii="Times New Roman" w:hAnsi="Times New Roman"/>
          <w:color w:val="202124"/>
          <w:sz w:val="22"/>
          <w:szCs w:val="22"/>
        </w:rPr>
        <w:t>Keputusan Akhir</w:t>
      </w:r>
      <w:proofErr w:type="gramStart"/>
      <w:r w:rsidRPr="00067EAA">
        <w:rPr>
          <w:rFonts w:ascii="Times New Roman" w:hAnsi="Times New Roman"/>
          <w:color w:val="202124"/>
          <w:sz w:val="22"/>
          <w:szCs w:val="22"/>
        </w:rPr>
        <w:t>:</w:t>
      </w:r>
      <w:proofErr w:type="gramEnd"/>
      <w:r w:rsidRPr="00067EAA">
        <w:rPr>
          <w:rFonts w:ascii="Times New Roman" w:hAnsi="Times New Roman"/>
          <w:color w:val="202124"/>
          <w:sz w:val="22"/>
          <w:szCs w:val="22"/>
        </w:rPr>
        <w:br/>
      </w:r>
      <w:r w:rsidRPr="00067EAA">
        <w:rPr>
          <w:rFonts w:ascii="Segoe UI Emoji" w:hAnsi="Segoe UI Emoji" w:cs="Segoe UI Emoji"/>
          <w:color w:val="202124"/>
          <w:sz w:val="22"/>
          <w:szCs w:val="22"/>
        </w:rPr>
        <w:t>➡️</w:t>
      </w:r>
      <w:r w:rsidRPr="00067EAA">
        <w:rPr>
          <w:rFonts w:ascii="Times New Roman" w:hAnsi="Times New Roman"/>
          <w:color w:val="202124"/>
          <w:sz w:val="22"/>
          <w:szCs w:val="22"/>
        </w:rPr>
        <w:t xml:space="preserve"> Lag optimal yang digunakan dalam model VAR adalah lag 2.</w:t>
      </w:r>
    </w:p>
    <w:p w14:paraId="4745A5A0" w14:textId="77777777" w:rsidR="00067EAA" w:rsidRDefault="00067EAA" w:rsidP="00067EAA">
      <w:pPr>
        <w:pStyle w:val="HTMLPreformatted"/>
        <w:ind w:left="360"/>
        <w:rPr>
          <w:rFonts w:ascii="Times New Roman" w:hAnsi="Times New Roman"/>
          <w:color w:val="202124"/>
          <w:sz w:val="22"/>
          <w:szCs w:val="22"/>
        </w:rPr>
      </w:pPr>
    </w:p>
    <w:p w14:paraId="7F00CB95" w14:textId="6543ACD3" w:rsidR="00067EAA" w:rsidRDefault="00067EAA" w:rsidP="00665287">
      <w:pPr>
        <w:pStyle w:val="HTMLPreformatted"/>
        <w:jc w:val="both"/>
        <w:rPr>
          <w:rFonts w:ascii="Times New Roman" w:hAnsi="Times New Roman"/>
          <w:color w:val="202124"/>
          <w:sz w:val="22"/>
          <w:szCs w:val="22"/>
        </w:rPr>
      </w:pPr>
      <w:r w:rsidRPr="00067EAA">
        <w:rPr>
          <w:rFonts w:ascii="Times New Roman" w:hAnsi="Times New Roman"/>
          <w:color w:val="202124"/>
          <w:sz w:val="22"/>
          <w:szCs w:val="22"/>
        </w:rPr>
        <w:t xml:space="preserve">Penentuan panjang lag optimal dilakukan dengan menggunakan beberapa kriteria informasi, yaitu Likelihood Ratio (LR), Final Prediction Error (FPE), Akaike Information Criterion (AIC), Schwarz Criterion (SC), dan Hannan–Quinn Criterion (HQ). </w:t>
      </w:r>
      <w:proofErr w:type="gramStart"/>
      <w:r w:rsidRPr="00067EAA">
        <w:rPr>
          <w:rFonts w:ascii="Times New Roman" w:hAnsi="Times New Roman"/>
          <w:color w:val="202124"/>
          <w:sz w:val="22"/>
          <w:szCs w:val="22"/>
        </w:rPr>
        <w:t xml:space="preserve">Berdasarkan hasil pengujian, sebagian besar kriteria informasi </w:t>
      </w:r>
      <w:r w:rsidRPr="0045272C">
        <w:rPr>
          <w:rFonts w:ascii="Times New Roman" w:hAnsi="Times New Roman"/>
          <w:color w:val="202124"/>
          <w:sz w:val="22"/>
          <w:szCs w:val="22"/>
        </w:rPr>
        <w:t>menunjukkan nilai minimum pada lag 2, sehingga</w:t>
      </w:r>
      <w:r w:rsidRPr="00067EAA">
        <w:rPr>
          <w:rFonts w:ascii="Times New Roman" w:hAnsi="Times New Roman"/>
          <w:color w:val="202124"/>
          <w:sz w:val="22"/>
          <w:szCs w:val="22"/>
        </w:rPr>
        <w:t xml:space="preserve"> lag tersebut dipilih sebagai lag optimal dalam estimasi model VAR. Pemilihan lag 2 dinilai mampu menangkap dinamika hubungan antar variabel secara memadai tanpa mengurangi derajat kebebasan model.</w:t>
      </w:r>
      <w:proofErr w:type="gramEnd"/>
    </w:p>
    <w:p w14:paraId="432E1EC3" w14:textId="77777777" w:rsidR="00067EAA" w:rsidRPr="00067EAA" w:rsidRDefault="00067EAA" w:rsidP="00067EAA">
      <w:pPr>
        <w:pStyle w:val="HTMLPreformatted"/>
        <w:ind w:left="360"/>
        <w:jc w:val="both"/>
        <w:rPr>
          <w:rFonts w:ascii="Times New Roman" w:hAnsi="Times New Roman"/>
          <w:color w:val="202124"/>
          <w:sz w:val="22"/>
          <w:szCs w:val="22"/>
        </w:rPr>
      </w:pPr>
    </w:p>
    <w:p w14:paraId="442FF62D" w14:textId="10B282B4" w:rsidR="00827347" w:rsidRPr="00665287" w:rsidRDefault="00067EAA" w:rsidP="00665287">
      <w:pPr>
        <w:pStyle w:val="HTMLPreformatted"/>
        <w:jc w:val="both"/>
        <w:rPr>
          <w:rFonts w:ascii="Times New Roman" w:hAnsi="Times New Roman"/>
          <w:b/>
          <w:color w:val="202124"/>
          <w:sz w:val="22"/>
          <w:szCs w:val="22"/>
        </w:rPr>
      </w:pPr>
      <w:r w:rsidRPr="00665287">
        <w:rPr>
          <w:rFonts w:ascii="Times New Roman" w:hAnsi="Times New Roman"/>
          <w:b/>
          <w:color w:val="202124"/>
          <w:sz w:val="22"/>
          <w:szCs w:val="22"/>
        </w:rPr>
        <w:t>Uji Impulse Response Function (IRF)</w:t>
      </w:r>
    </w:p>
    <w:p w14:paraId="7519163C" w14:textId="4C67EB02" w:rsidR="001E4B81" w:rsidRPr="00665287" w:rsidRDefault="001E4B81" w:rsidP="00665287">
      <w:pPr>
        <w:pStyle w:val="HTMLPreformatted"/>
        <w:rPr>
          <w:rFonts w:ascii="Times New Roman" w:hAnsi="Times New Roman"/>
          <w:b/>
          <w:color w:val="202124"/>
          <w:sz w:val="22"/>
          <w:szCs w:val="22"/>
        </w:rPr>
      </w:pPr>
      <w:proofErr w:type="gramStart"/>
      <w:r w:rsidRPr="00665287">
        <w:rPr>
          <w:rFonts w:ascii="Times New Roman" w:hAnsi="Times New Roman"/>
          <w:b/>
          <w:color w:val="202124"/>
          <w:sz w:val="22"/>
          <w:szCs w:val="22"/>
        </w:rPr>
        <w:t xml:space="preserve">Tabel </w:t>
      </w:r>
      <w:r w:rsidR="0045272C" w:rsidRPr="00665287">
        <w:rPr>
          <w:rFonts w:ascii="Times New Roman" w:hAnsi="Times New Roman"/>
          <w:b/>
          <w:color w:val="202124"/>
          <w:sz w:val="22"/>
          <w:szCs w:val="22"/>
        </w:rPr>
        <w:t>5</w:t>
      </w:r>
      <w:r w:rsidR="00665287" w:rsidRPr="00665287">
        <w:rPr>
          <w:rFonts w:ascii="Times New Roman" w:hAnsi="Times New Roman"/>
          <w:b/>
          <w:color w:val="202124"/>
          <w:sz w:val="22"/>
          <w:szCs w:val="22"/>
        </w:rPr>
        <w:t>.</w:t>
      </w:r>
      <w:proofErr w:type="gramEnd"/>
      <w:r w:rsidR="00665287" w:rsidRPr="00665287">
        <w:rPr>
          <w:rFonts w:ascii="Times New Roman" w:hAnsi="Times New Roman"/>
          <w:b/>
          <w:color w:val="202124"/>
          <w:sz w:val="22"/>
          <w:szCs w:val="22"/>
        </w:rPr>
        <w:t xml:space="preserve"> </w:t>
      </w:r>
      <w:r w:rsidRPr="00665287">
        <w:rPr>
          <w:rFonts w:ascii="Times New Roman" w:hAnsi="Times New Roman"/>
          <w:b/>
          <w:color w:val="202124"/>
          <w:sz w:val="22"/>
          <w:szCs w:val="22"/>
        </w:rPr>
        <w:t>Ringkasan Respon Variabel terhadap Guncangan Kebijakan (IRF)</w:t>
      </w:r>
    </w:p>
    <w:tbl>
      <w:tblPr>
        <w:tblStyle w:val="PlainTable21"/>
        <w:tblW w:w="9077" w:type="dxa"/>
        <w:tblBorders>
          <w:top w:val="double" w:sz="4" w:space="0" w:color="auto"/>
          <w:bottom w:val="double" w:sz="4" w:space="0" w:color="auto"/>
        </w:tblBorders>
        <w:tblLook w:val="04A0" w:firstRow="1" w:lastRow="0" w:firstColumn="1" w:lastColumn="0" w:noHBand="0" w:noVBand="1"/>
      </w:tblPr>
      <w:tblGrid>
        <w:gridCol w:w="2022"/>
        <w:gridCol w:w="2055"/>
        <w:gridCol w:w="1907"/>
        <w:gridCol w:w="3093"/>
      </w:tblGrid>
      <w:tr w:rsidR="001E4B81" w:rsidRPr="001E4B81" w14:paraId="4DBE1348" w14:textId="77777777" w:rsidTr="00E43253">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double" w:sz="4" w:space="0" w:color="auto"/>
            </w:tcBorders>
            <w:hideMark/>
          </w:tcPr>
          <w:p w14:paraId="3BAF87C9" w14:textId="77777777" w:rsidR="001E4B81" w:rsidRPr="001E4B81" w:rsidRDefault="001E4B81" w:rsidP="001E4B81">
            <w:pPr>
              <w:pStyle w:val="HTMLPreformatted"/>
              <w:ind w:left="360"/>
              <w:jc w:val="center"/>
              <w:rPr>
                <w:rFonts w:ascii="Times New Roman" w:hAnsi="Times New Roman"/>
                <w:color w:val="202124"/>
                <w:sz w:val="22"/>
                <w:szCs w:val="22"/>
              </w:rPr>
            </w:pPr>
            <w:r w:rsidRPr="001E4B81">
              <w:rPr>
                <w:rFonts w:ascii="Times New Roman" w:hAnsi="Times New Roman"/>
                <w:color w:val="202124"/>
                <w:sz w:val="22"/>
                <w:szCs w:val="22"/>
              </w:rPr>
              <w:t>Guncangan (Shock)</w:t>
            </w:r>
          </w:p>
        </w:tc>
        <w:tc>
          <w:tcPr>
            <w:tcW w:w="0" w:type="auto"/>
            <w:tcBorders>
              <w:top w:val="double" w:sz="4" w:space="0" w:color="auto"/>
              <w:bottom w:val="double" w:sz="4" w:space="0" w:color="auto"/>
            </w:tcBorders>
            <w:hideMark/>
          </w:tcPr>
          <w:p w14:paraId="57F8EDD4" w14:textId="77777777" w:rsidR="001E4B81" w:rsidRPr="001E4B81" w:rsidRDefault="001E4B81" w:rsidP="001E4B81">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Respon Variabel</w:t>
            </w:r>
          </w:p>
        </w:tc>
        <w:tc>
          <w:tcPr>
            <w:tcW w:w="0" w:type="auto"/>
            <w:tcBorders>
              <w:top w:val="double" w:sz="4" w:space="0" w:color="auto"/>
              <w:bottom w:val="double" w:sz="4" w:space="0" w:color="auto"/>
            </w:tcBorders>
            <w:hideMark/>
          </w:tcPr>
          <w:p w14:paraId="03C8C69F" w14:textId="77777777" w:rsidR="001E4B81" w:rsidRPr="001E4B81" w:rsidRDefault="001E4B81" w:rsidP="001E4B81">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Arah Respon Utama</w:t>
            </w:r>
          </w:p>
        </w:tc>
        <w:tc>
          <w:tcPr>
            <w:tcW w:w="0" w:type="auto"/>
            <w:tcBorders>
              <w:top w:val="double" w:sz="4" w:space="0" w:color="auto"/>
              <w:bottom w:val="double" w:sz="4" w:space="0" w:color="auto"/>
            </w:tcBorders>
            <w:hideMark/>
          </w:tcPr>
          <w:p w14:paraId="487864C1" w14:textId="77777777" w:rsidR="001E4B81" w:rsidRPr="001E4B81" w:rsidRDefault="001E4B81" w:rsidP="001E4B81">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Pola &amp; Durasi</w:t>
            </w:r>
          </w:p>
        </w:tc>
      </w:tr>
      <w:tr w:rsidR="001E4B81" w:rsidRPr="001E4B81" w14:paraId="5DB3E938" w14:textId="77777777" w:rsidTr="00E43253">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none" w:sz="0" w:space="0" w:color="auto"/>
            </w:tcBorders>
            <w:hideMark/>
          </w:tcPr>
          <w:p w14:paraId="0FF6A2D3" w14:textId="77777777" w:rsidR="001E4B81" w:rsidRPr="00E63013" w:rsidRDefault="001E4B81" w:rsidP="001E4B81">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BI Rate</w:t>
            </w:r>
          </w:p>
        </w:tc>
        <w:tc>
          <w:tcPr>
            <w:tcW w:w="0" w:type="auto"/>
            <w:tcBorders>
              <w:top w:val="double" w:sz="4" w:space="0" w:color="auto"/>
              <w:bottom w:val="none" w:sz="0" w:space="0" w:color="auto"/>
            </w:tcBorders>
            <w:hideMark/>
          </w:tcPr>
          <w:p w14:paraId="03D14130"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Inflasi (INF)</w:t>
            </w:r>
          </w:p>
        </w:tc>
        <w:tc>
          <w:tcPr>
            <w:tcW w:w="0" w:type="auto"/>
            <w:tcBorders>
              <w:top w:val="double" w:sz="4" w:space="0" w:color="auto"/>
              <w:bottom w:val="none" w:sz="0" w:space="0" w:color="auto"/>
            </w:tcBorders>
            <w:hideMark/>
          </w:tcPr>
          <w:p w14:paraId="0DBE7B53"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Negatif setelah periode awal</w:t>
            </w:r>
          </w:p>
        </w:tc>
        <w:tc>
          <w:tcPr>
            <w:tcW w:w="0" w:type="auto"/>
            <w:tcBorders>
              <w:top w:val="double" w:sz="4" w:space="0" w:color="auto"/>
              <w:bottom w:val="none" w:sz="0" w:space="0" w:color="auto"/>
            </w:tcBorders>
            <w:hideMark/>
          </w:tcPr>
          <w:p w14:paraId="5F8DCB0F"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Efek penurunan inflasi muncul setelah periode ke-2 dan konvergen</w:t>
            </w:r>
          </w:p>
        </w:tc>
      </w:tr>
      <w:tr w:rsidR="001E4B81" w:rsidRPr="001E4B81" w14:paraId="66449A5E" w14:textId="77777777" w:rsidTr="00E43253">
        <w:trPr>
          <w:trHeight w:val="647"/>
        </w:trPr>
        <w:tc>
          <w:tcPr>
            <w:cnfStyle w:val="001000000000" w:firstRow="0" w:lastRow="0" w:firstColumn="1" w:lastColumn="0" w:oddVBand="0" w:evenVBand="0" w:oddHBand="0" w:evenHBand="0" w:firstRowFirstColumn="0" w:firstRowLastColumn="0" w:lastRowFirstColumn="0" w:lastRowLastColumn="0"/>
            <w:tcW w:w="0" w:type="auto"/>
            <w:hideMark/>
          </w:tcPr>
          <w:p w14:paraId="5A070353" w14:textId="77777777" w:rsidR="001E4B81" w:rsidRPr="00E63013" w:rsidRDefault="001E4B81" w:rsidP="001E4B81">
            <w:pPr>
              <w:pStyle w:val="HTMLPreformatted"/>
              <w:ind w:left="360"/>
              <w:jc w:val="both"/>
              <w:rPr>
                <w:rFonts w:ascii="Times New Roman" w:hAnsi="Times New Roman"/>
                <w:b w:val="0"/>
                <w:bCs w:val="0"/>
                <w:color w:val="202124"/>
                <w:sz w:val="22"/>
                <w:szCs w:val="22"/>
              </w:rPr>
            </w:pPr>
          </w:p>
        </w:tc>
        <w:tc>
          <w:tcPr>
            <w:tcW w:w="0" w:type="auto"/>
            <w:hideMark/>
          </w:tcPr>
          <w:p w14:paraId="5A177C44" w14:textId="6BF0BFA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Pengangguran (</w:t>
            </w:r>
            <w:r w:rsidR="00426EDD">
              <w:rPr>
                <w:rFonts w:ascii="Times New Roman" w:hAnsi="Times New Roman"/>
                <w:color w:val="202124"/>
                <w:sz w:val="22"/>
                <w:szCs w:val="22"/>
              </w:rPr>
              <w:t>U</w:t>
            </w:r>
            <w:r w:rsidRPr="001E4B81">
              <w:rPr>
                <w:rFonts w:ascii="Times New Roman" w:hAnsi="Times New Roman"/>
                <w:color w:val="202124"/>
                <w:sz w:val="22"/>
                <w:szCs w:val="22"/>
              </w:rPr>
              <w:t>EMP)</w:t>
            </w:r>
          </w:p>
        </w:tc>
        <w:tc>
          <w:tcPr>
            <w:tcW w:w="0" w:type="auto"/>
            <w:hideMark/>
          </w:tcPr>
          <w:p w14:paraId="520712DF"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Positif sementara</w:t>
            </w:r>
          </w:p>
        </w:tc>
        <w:tc>
          <w:tcPr>
            <w:tcW w:w="0" w:type="auto"/>
            <w:hideMark/>
          </w:tcPr>
          <w:p w14:paraId="746BCA81"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Meningkat di awal, lalu menurun menuju keseimbangan</w:t>
            </w:r>
          </w:p>
        </w:tc>
      </w:tr>
      <w:tr w:rsidR="001E4B81" w:rsidRPr="001E4B81" w14:paraId="4B86A65B" w14:textId="77777777" w:rsidTr="00E43253">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70E2EA60" w14:textId="77777777" w:rsidR="001E4B81" w:rsidRPr="00E63013" w:rsidRDefault="001E4B81" w:rsidP="001E4B81">
            <w:pPr>
              <w:pStyle w:val="HTMLPreformatted"/>
              <w:ind w:left="360"/>
              <w:jc w:val="both"/>
              <w:rPr>
                <w:rFonts w:ascii="Times New Roman" w:hAnsi="Times New Roman"/>
                <w:b w:val="0"/>
                <w:bCs w:val="0"/>
                <w:color w:val="202124"/>
                <w:sz w:val="22"/>
                <w:szCs w:val="22"/>
              </w:rPr>
            </w:pPr>
          </w:p>
        </w:tc>
        <w:tc>
          <w:tcPr>
            <w:tcW w:w="0" w:type="auto"/>
            <w:tcBorders>
              <w:top w:val="none" w:sz="0" w:space="0" w:color="auto"/>
              <w:bottom w:val="none" w:sz="0" w:space="0" w:color="auto"/>
            </w:tcBorders>
            <w:hideMark/>
          </w:tcPr>
          <w:p w14:paraId="4C466A19"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GDP</w:t>
            </w:r>
          </w:p>
        </w:tc>
        <w:tc>
          <w:tcPr>
            <w:tcW w:w="0" w:type="auto"/>
            <w:tcBorders>
              <w:top w:val="none" w:sz="0" w:space="0" w:color="auto"/>
              <w:bottom w:val="none" w:sz="0" w:space="0" w:color="auto"/>
            </w:tcBorders>
            <w:hideMark/>
          </w:tcPr>
          <w:p w14:paraId="4461196C"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Negatif</w:t>
            </w:r>
          </w:p>
        </w:tc>
        <w:tc>
          <w:tcPr>
            <w:tcW w:w="0" w:type="auto"/>
            <w:tcBorders>
              <w:top w:val="none" w:sz="0" w:space="0" w:color="auto"/>
              <w:bottom w:val="none" w:sz="0" w:space="0" w:color="auto"/>
            </w:tcBorders>
            <w:hideMark/>
          </w:tcPr>
          <w:p w14:paraId="5C1923FE"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Kontraksi output jangka pendek</w:t>
            </w:r>
          </w:p>
        </w:tc>
      </w:tr>
      <w:tr w:rsidR="001E4B81" w:rsidRPr="001E4B81" w14:paraId="5202740B" w14:textId="77777777" w:rsidTr="00E43253">
        <w:trPr>
          <w:trHeight w:val="647"/>
        </w:trPr>
        <w:tc>
          <w:tcPr>
            <w:cnfStyle w:val="001000000000" w:firstRow="0" w:lastRow="0" w:firstColumn="1" w:lastColumn="0" w:oddVBand="0" w:evenVBand="0" w:oddHBand="0" w:evenHBand="0" w:firstRowFirstColumn="0" w:firstRowLastColumn="0" w:lastRowFirstColumn="0" w:lastRowLastColumn="0"/>
            <w:tcW w:w="0" w:type="auto"/>
            <w:hideMark/>
          </w:tcPr>
          <w:p w14:paraId="07A8DE28" w14:textId="77777777" w:rsidR="001E4B81" w:rsidRPr="00E63013" w:rsidRDefault="001E4B81" w:rsidP="001E4B81">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Belanja Pemerintah (GOV)</w:t>
            </w:r>
          </w:p>
        </w:tc>
        <w:tc>
          <w:tcPr>
            <w:tcW w:w="0" w:type="auto"/>
            <w:hideMark/>
          </w:tcPr>
          <w:p w14:paraId="745F69FD"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Inflasi (INF)</w:t>
            </w:r>
          </w:p>
        </w:tc>
        <w:tc>
          <w:tcPr>
            <w:tcW w:w="0" w:type="auto"/>
            <w:hideMark/>
          </w:tcPr>
          <w:p w14:paraId="0B71F75D"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Positif</w:t>
            </w:r>
          </w:p>
        </w:tc>
        <w:tc>
          <w:tcPr>
            <w:tcW w:w="0" w:type="auto"/>
            <w:hideMark/>
          </w:tcPr>
          <w:p w14:paraId="2E2B665B"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Dorongan inflasi jangka pendek–menengah</w:t>
            </w:r>
          </w:p>
        </w:tc>
      </w:tr>
      <w:tr w:rsidR="001E4B81" w:rsidRPr="001E4B81" w14:paraId="3435BD79" w14:textId="77777777" w:rsidTr="00E4325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432AB2AC" w14:textId="77777777" w:rsidR="001E4B81" w:rsidRPr="00E63013" w:rsidRDefault="001E4B81" w:rsidP="001E4B81">
            <w:pPr>
              <w:pStyle w:val="HTMLPreformatted"/>
              <w:ind w:left="360"/>
              <w:jc w:val="both"/>
              <w:rPr>
                <w:rFonts w:ascii="Times New Roman" w:hAnsi="Times New Roman"/>
                <w:b w:val="0"/>
                <w:bCs w:val="0"/>
                <w:color w:val="202124"/>
                <w:sz w:val="22"/>
                <w:szCs w:val="22"/>
              </w:rPr>
            </w:pPr>
          </w:p>
        </w:tc>
        <w:tc>
          <w:tcPr>
            <w:tcW w:w="0" w:type="auto"/>
            <w:tcBorders>
              <w:top w:val="none" w:sz="0" w:space="0" w:color="auto"/>
              <w:bottom w:val="none" w:sz="0" w:space="0" w:color="auto"/>
            </w:tcBorders>
            <w:hideMark/>
          </w:tcPr>
          <w:p w14:paraId="581540CE"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GDP</w:t>
            </w:r>
          </w:p>
        </w:tc>
        <w:tc>
          <w:tcPr>
            <w:tcW w:w="0" w:type="auto"/>
            <w:tcBorders>
              <w:top w:val="none" w:sz="0" w:space="0" w:color="auto"/>
              <w:bottom w:val="none" w:sz="0" w:space="0" w:color="auto"/>
            </w:tcBorders>
            <w:hideMark/>
          </w:tcPr>
          <w:p w14:paraId="42641440"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Positif kuat</w:t>
            </w:r>
          </w:p>
        </w:tc>
        <w:tc>
          <w:tcPr>
            <w:tcW w:w="0" w:type="auto"/>
            <w:tcBorders>
              <w:top w:val="none" w:sz="0" w:space="0" w:color="auto"/>
              <w:bottom w:val="none" w:sz="0" w:space="0" w:color="auto"/>
            </w:tcBorders>
            <w:hideMark/>
          </w:tcPr>
          <w:p w14:paraId="1469A6EE"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Stimulus fiskal meningkatkan output</w:t>
            </w:r>
          </w:p>
        </w:tc>
      </w:tr>
      <w:tr w:rsidR="001E4B81" w:rsidRPr="001E4B81" w14:paraId="17E98A4D" w14:textId="77777777" w:rsidTr="00E43253">
        <w:trPr>
          <w:trHeight w:val="425"/>
        </w:trPr>
        <w:tc>
          <w:tcPr>
            <w:cnfStyle w:val="001000000000" w:firstRow="0" w:lastRow="0" w:firstColumn="1" w:lastColumn="0" w:oddVBand="0" w:evenVBand="0" w:oddHBand="0" w:evenHBand="0" w:firstRowFirstColumn="0" w:firstRowLastColumn="0" w:lastRowFirstColumn="0" w:lastRowLastColumn="0"/>
            <w:tcW w:w="0" w:type="auto"/>
            <w:hideMark/>
          </w:tcPr>
          <w:p w14:paraId="0CB2899A" w14:textId="77777777" w:rsidR="001E4B81" w:rsidRPr="00E63013" w:rsidRDefault="001E4B81" w:rsidP="001E4B81">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Pajak (TAX)</w:t>
            </w:r>
          </w:p>
        </w:tc>
        <w:tc>
          <w:tcPr>
            <w:tcW w:w="0" w:type="auto"/>
            <w:hideMark/>
          </w:tcPr>
          <w:p w14:paraId="385586BA"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Inflasi (INF)</w:t>
            </w:r>
          </w:p>
        </w:tc>
        <w:tc>
          <w:tcPr>
            <w:tcW w:w="0" w:type="auto"/>
            <w:hideMark/>
          </w:tcPr>
          <w:p w14:paraId="441E66BC"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Negatif</w:t>
            </w:r>
          </w:p>
        </w:tc>
        <w:tc>
          <w:tcPr>
            <w:tcW w:w="0" w:type="auto"/>
            <w:hideMark/>
          </w:tcPr>
          <w:p w14:paraId="5D5819FB"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Penekanan tekanan harga secara bertahap</w:t>
            </w:r>
          </w:p>
        </w:tc>
      </w:tr>
      <w:tr w:rsidR="001E4B81" w:rsidRPr="001E4B81" w14:paraId="10D7CF7F" w14:textId="77777777" w:rsidTr="00E4325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il"/>
            </w:tcBorders>
            <w:hideMark/>
          </w:tcPr>
          <w:p w14:paraId="756B76D3" w14:textId="77777777" w:rsidR="001E4B81" w:rsidRPr="00E63013" w:rsidRDefault="001E4B81" w:rsidP="001E4B81">
            <w:pPr>
              <w:pStyle w:val="HTMLPreformatted"/>
              <w:ind w:left="360"/>
              <w:jc w:val="both"/>
              <w:rPr>
                <w:rFonts w:ascii="Times New Roman" w:hAnsi="Times New Roman"/>
                <w:b w:val="0"/>
                <w:bCs w:val="0"/>
                <w:color w:val="202124"/>
                <w:sz w:val="22"/>
                <w:szCs w:val="22"/>
              </w:rPr>
            </w:pPr>
          </w:p>
        </w:tc>
        <w:tc>
          <w:tcPr>
            <w:tcW w:w="0" w:type="auto"/>
            <w:tcBorders>
              <w:top w:val="none" w:sz="0" w:space="0" w:color="auto"/>
              <w:bottom w:val="nil"/>
            </w:tcBorders>
            <w:hideMark/>
          </w:tcPr>
          <w:p w14:paraId="36BA681A"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GDP</w:t>
            </w:r>
          </w:p>
        </w:tc>
        <w:tc>
          <w:tcPr>
            <w:tcW w:w="0" w:type="auto"/>
            <w:tcBorders>
              <w:top w:val="none" w:sz="0" w:space="0" w:color="auto"/>
              <w:bottom w:val="nil"/>
            </w:tcBorders>
            <w:hideMark/>
          </w:tcPr>
          <w:p w14:paraId="28387335"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Positif</w:t>
            </w:r>
          </w:p>
        </w:tc>
        <w:tc>
          <w:tcPr>
            <w:tcW w:w="0" w:type="auto"/>
            <w:tcBorders>
              <w:top w:val="none" w:sz="0" w:space="0" w:color="auto"/>
              <w:bottom w:val="nil"/>
            </w:tcBorders>
            <w:hideMark/>
          </w:tcPr>
          <w:p w14:paraId="18A86FDA"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Hubungan dua arah fiskal–pertumbuhan</w:t>
            </w:r>
          </w:p>
        </w:tc>
      </w:tr>
      <w:tr w:rsidR="001E4B81" w:rsidRPr="001E4B81" w14:paraId="5969C600" w14:textId="77777777" w:rsidTr="00E43253">
        <w:trPr>
          <w:trHeight w:val="431"/>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23FF1AF" w14:textId="77777777" w:rsidR="001E4B81" w:rsidRPr="00E63013" w:rsidRDefault="001E4B81" w:rsidP="001E4B81">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Nilai Tukar (KURS)</w:t>
            </w:r>
          </w:p>
        </w:tc>
        <w:tc>
          <w:tcPr>
            <w:tcW w:w="0" w:type="auto"/>
            <w:tcBorders>
              <w:top w:val="nil"/>
              <w:bottom w:val="nil"/>
            </w:tcBorders>
            <w:hideMark/>
          </w:tcPr>
          <w:p w14:paraId="2A27A968"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Inflasi (INF)</w:t>
            </w:r>
          </w:p>
        </w:tc>
        <w:tc>
          <w:tcPr>
            <w:tcW w:w="0" w:type="auto"/>
            <w:tcBorders>
              <w:top w:val="nil"/>
              <w:bottom w:val="nil"/>
            </w:tcBorders>
            <w:hideMark/>
          </w:tcPr>
          <w:p w14:paraId="4E9AC4A9"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Positif</w:t>
            </w:r>
          </w:p>
        </w:tc>
        <w:tc>
          <w:tcPr>
            <w:tcW w:w="0" w:type="auto"/>
            <w:tcBorders>
              <w:top w:val="nil"/>
              <w:bottom w:val="nil"/>
            </w:tcBorders>
            <w:hideMark/>
          </w:tcPr>
          <w:p w14:paraId="227764FB"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Exchange rate pass-through signifikan</w:t>
            </w:r>
          </w:p>
        </w:tc>
      </w:tr>
      <w:tr w:rsidR="001E4B81" w:rsidRPr="001E4B81" w14:paraId="66B5CED3" w14:textId="77777777" w:rsidTr="00E4325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9DDDF84" w14:textId="77777777" w:rsidR="001E4B81" w:rsidRPr="00E63013" w:rsidRDefault="001E4B81" w:rsidP="001E4B81">
            <w:pPr>
              <w:pStyle w:val="HTMLPreformatted"/>
              <w:ind w:left="360"/>
              <w:jc w:val="both"/>
              <w:rPr>
                <w:rFonts w:ascii="Times New Roman" w:hAnsi="Times New Roman"/>
                <w:b w:val="0"/>
                <w:bCs w:val="0"/>
                <w:color w:val="202124"/>
                <w:sz w:val="22"/>
                <w:szCs w:val="22"/>
              </w:rPr>
            </w:pPr>
          </w:p>
        </w:tc>
        <w:tc>
          <w:tcPr>
            <w:tcW w:w="0" w:type="auto"/>
            <w:tcBorders>
              <w:top w:val="nil"/>
              <w:bottom w:val="nil"/>
            </w:tcBorders>
            <w:hideMark/>
          </w:tcPr>
          <w:p w14:paraId="5FD4ABE9"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GDP</w:t>
            </w:r>
          </w:p>
        </w:tc>
        <w:tc>
          <w:tcPr>
            <w:tcW w:w="0" w:type="auto"/>
            <w:tcBorders>
              <w:top w:val="nil"/>
              <w:bottom w:val="nil"/>
            </w:tcBorders>
            <w:hideMark/>
          </w:tcPr>
          <w:p w14:paraId="7CD3E521"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Positif bertahap</w:t>
            </w:r>
          </w:p>
        </w:tc>
        <w:tc>
          <w:tcPr>
            <w:tcW w:w="0" w:type="auto"/>
            <w:tcBorders>
              <w:top w:val="nil"/>
              <w:bottom w:val="nil"/>
            </w:tcBorders>
            <w:hideMark/>
          </w:tcPr>
          <w:p w14:paraId="680A1ADF" w14:textId="77777777" w:rsidR="001E4B81" w:rsidRPr="001E4B81" w:rsidRDefault="001E4B81" w:rsidP="001E4B81">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Dampak eksternal terhadap aktivitas ekonomi</w:t>
            </w:r>
          </w:p>
        </w:tc>
      </w:tr>
      <w:tr w:rsidR="001E4B81" w:rsidRPr="001E4B81" w14:paraId="07DDF6E4" w14:textId="77777777" w:rsidTr="00E43253">
        <w:trPr>
          <w:trHeight w:val="431"/>
        </w:trPr>
        <w:tc>
          <w:tcPr>
            <w:cnfStyle w:val="001000000000" w:firstRow="0" w:lastRow="0" w:firstColumn="1" w:lastColumn="0" w:oddVBand="0" w:evenVBand="0" w:oddHBand="0" w:evenHBand="0" w:firstRowFirstColumn="0" w:firstRowLastColumn="0" w:lastRowFirstColumn="0" w:lastRowLastColumn="0"/>
            <w:tcW w:w="0" w:type="auto"/>
            <w:tcBorders>
              <w:top w:val="nil"/>
              <w:bottom w:val="double" w:sz="4" w:space="0" w:color="auto"/>
            </w:tcBorders>
            <w:hideMark/>
          </w:tcPr>
          <w:p w14:paraId="67CC717B" w14:textId="77777777" w:rsidR="001E4B81" w:rsidRPr="00E63013" w:rsidRDefault="001E4B81" w:rsidP="001E4B81">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lastRenderedPageBreak/>
              <w:t>Inflasi (INF)</w:t>
            </w:r>
          </w:p>
        </w:tc>
        <w:tc>
          <w:tcPr>
            <w:tcW w:w="0" w:type="auto"/>
            <w:tcBorders>
              <w:top w:val="nil"/>
              <w:bottom w:val="double" w:sz="4" w:space="0" w:color="auto"/>
            </w:tcBorders>
            <w:hideMark/>
          </w:tcPr>
          <w:p w14:paraId="292A6D0D"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Pengangguran (EMP)</w:t>
            </w:r>
          </w:p>
        </w:tc>
        <w:tc>
          <w:tcPr>
            <w:tcW w:w="0" w:type="auto"/>
            <w:tcBorders>
              <w:top w:val="nil"/>
              <w:bottom w:val="double" w:sz="4" w:space="0" w:color="auto"/>
            </w:tcBorders>
            <w:hideMark/>
          </w:tcPr>
          <w:p w14:paraId="5BA65EBE"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Positif</w:t>
            </w:r>
          </w:p>
        </w:tc>
        <w:tc>
          <w:tcPr>
            <w:tcW w:w="0" w:type="auto"/>
            <w:tcBorders>
              <w:top w:val="nil"/>
              <w:bottom w:val="double" w:sz="4" w:space="0" w:color="auto"/>
            </w:tcBorders>
            <w:hideMark/>
          </w:tcPr>
          <w:p w14:paraId="188D82C1" w14:textId="77777777" w:rsidR="001E4B81" w:rsidRPr="001E4B81" w:rsidRDefault="001E4B81" w:rsidP="001E4B81">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1E4B81">
              <w:rPr>
                <w:rFonts w:ascii="Times New Roman" w:hAnsi="Times New Roman"/>
                <w:color w:val="202124"/>
                <w:sz w:val="22"/>
                <w:szCs w:val="22"/>
              </w:rPr>
              <w:t>Konsisten dengan trade-off inflasi–pengangguran</w:t>
            </w:r>
          </w:p>
        </w:tc>
      </w:tr>
    </w:tbl>
    <w:p w14:paraId="37825CB1" w14:textId="77777777" w:rsidR="001E4B81" w:rsidRDefault="001E4B81" w:rsidP="001E4B81">
      <w:pPr>
        <w:pStyle w:val="HTMLPreformatted"/>
        <w:ind w:left="360"/>
        <w:jc w:val="both"/>
        <w:rPr>
          <w:rFonts w:ascii="Times New Roman" w:hAnsi="Times New Roman"/>
          <w:color w:val="202124"/>
          <w:sz w:val="22"/>
          <w:szCs w:val="22"/>
        </w:rPr>
      </w:pPr>
    </w:p>
    <w:p w14:paraId="12338838" w14:textId="49AF9BBF" w:rsidR="001E4B81" w:rsidRPr="0045272C" w:rsidRDefault="001E4B81" w:rsidP="001E4B81">
      <w:pPr>
        <w:pStyle w:val="HTMLPreformatted"/>
        <w:ind w:left="360"/>
        <w:jc w:val="both"/>
        <w:rPr>
          <w:rFonts w:ascii="Times New Roman" w:hAnsi="Times New Roman"/>
          <w:color w:val="202124"/>
          <w:sz w:val="22"/>
          <w:szCs w:val="22"/>
        </w:rPr>
      </w:pPr>
      <w:proofErr w:type="gramStart"/>
      <w:r w:rsidRPr="001E4B81">
        <w:rPr>
          <w:rFonts w:ascii="Times New Roman" w:hAnsi="Times New Roman"/>
          <w:color w:val="202124"/>
          <w:sz w:val="22"/>
          <w:szCs w:val="22"/>
        </w:rPr>
        <w:t xml:space="preserve">Hasil </w:t>
      </w:r>
      <w:r w:rsidRPr="0045272C">
        <w:rPr>
          <w:rFonts w:ascii="Times New Roman" w:hAnsi="Times New Roman"/>
          <w:color w:val="202124"/>
          <w:sz w:val="22"/>
          <w:szCs w:val="22"/>
        </w:rPr>
        <w:t>Impulse Response Function (IRF) menunjukkan bahwa guncangan positif pada BI Rate direspons oleh inflasi dengan arah negatif setelah beberapa periode, yang mengindikasikan efektivitas transmisi kebijakan moneter dalam menekan tekanan harga.</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Namun demikian, guncangan suku bunga kebijakan juga direspons oleh peningkatan pengangguran pada periode awal, sebelum kembali menuju keseimbangan, yang mencerminkan adanya trade-off jangka pendek antara stabilitas harga dan kondisi pasar tenaga kerja.</w:t>
      </w:r>
      <w:proofErr w:type="gramEnd"/>
    </w:p>
    <w:p w14:paraId="48587BEC" w14:textId="70F6CE11" w:rsidR="001E4B81" w:rsidRPr="0045272C" w:rsidRDefault="001E4B81" w:rsidP="001E4B81">
      <w:pPr>
        <w:pStyle w:val="HTMLPreformatted"/>
        <w:ind w:left="360"/>
        <w:jc w:val="both"/>
        <w:rPr>
          <w:rFonts w:ascii="Times New Roman" w:hAnsi="Times New Roman"/>
          <w:color w:val="202124"/>
          <w:sz w:val="22"/>
          <w:szCs w:val="22"/>
        </w:rPr>
      </w:pPr>
      <w:proofErr w:type="gramStart"/>
      <w:r w:rsidRPr="0045272C">
        <w:rPr>
          <w:rFonts w:ascii="Times New Roman" w:hAnsi="Times New Roman"/>
          <w:color w:val="202124"/>
          <w:sz w:val="22"/>
          <w:szCs w:val="22"/>
        </w:rPr>
        <w:t>Dari sisi kebijakan fiskal, guncangan pada belanja pemerintah memberikan respon positif yang kuat terhadap GDP, sekaligus mendorong kenaikan inflasi dalam jangka pendek hingga menengah.</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Temuan ini menunjukkan bahwa ekspansi fiskal efektif dalam mendorong pertumbuhan ekonomi, namun berpotensi meningkatkan tekanan inflasi apabila tidak diimbangi kebijakan moneter yang memadai.</w:t>
      </w:r>
      <w:proofErr w:type="gramEnd"/>
    </w:p>
    <w:p w14:paraId="3E33B613" w14:textId="474C60A8" w:rsidR="001E4B81" w:rsidRPr="0045272C" w:rsidRDefault="001E4B81" w:rsidP="001E4B81">
      <w:pPr>
        <w:pStyle w:val="HTMLPreformatted"/>
        <w:ind w:left="360"/>
        <w:jc w:val="both"/>
        <w:rPr>
          <w:rFonts w:ascii="Times New Roman" w:hAnsi="Times New Roman"/>
          <w:color w:val="202124"/>
          <w:sz w:val="22"/>
          <w:szCs w:val="22"/>
        </w:rPr>
      </w:pPr>
      <w:proofErr w:type="gramStart"/>
      <w:r w:rsidRPr="0045272C">
        <w:rPr>
          <w:rFonts w:ascii="Times New Roman" w:hAnsi="Times New Roman"/>
          <w:color w:val="202124"/>
          <w:sz w:val="22"/>
          <w:szCs w:val="22"/>
        </w:rPr>
        <w:t>Selanjutnya, guncangan pajak menunjukkan respon negatif terhadap inflasi dan respon positif terhadap pertumbuhan ekonomi.</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Hal ini mengindikasikan bahwa instrumen pajak berperan sebagai alat stabilisasi fiskal yang dapat menekan inflasi sekaligus mendukung kinerja ekonomi.</w:t>
      </w:r>
      <w:proofErr w:type="gramEnd"/>
    </w:p>
    <w:p w14:paraId="51819136" w14:textId="7E6BC5E0" w:rsidR="001E4B81" w:rsidRDefault="001E4B81" w:rsidP="00E43253">
      <w:pPr>
        <w:pStyle w:val="HTMLPreformatted"/>
        <w:ind w:left="360"/>
        <w:jc w:val="both"/>
        <w:rPr>
          <w:rFonts w:ascii="Times New Roman" w:hAnsi="Times New Roman"/>
          <w:color w:val="202124"/>
          <w:sz w:val="22"/>
          <w:szCs w:val="22"/>
        </w:rPr>
      </w:pPr>
      <w:proofErr w:type="gramStart"/>
      <w:r w:rsidRPr="0045272C">
        <w:rPr>
          <w:rFonts w:ascii="Times New Roman" w:hAnsi="Times New Roman"/>
          <w:color w:val="202124"/>
          <w:sz w:val="22"/>
          <w:szCs w:val="22"/>
        </w:rPr>
        <w:t>Guncangan nilai tukar direspons secara positif oleh inflasi, yang menegaskan adanya exchange rate pass-through dalam perekonomian Indonesia.</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Dampak ini bersifat cukup persisten sebelum akhirnya konvergen ke titik keseimbangan.</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Secara keseluruhan, seluruh respon variabel dalam analisis IRF bersifat konvergen dan kembali ke keseimbangan jangka panjang.</w:t>
      </w:r>
      <w:proofErr w:type="gramEnd"/>
      <w:r w:rsidRPr="0045272C">
        <w:rPr>
          <w:rFonts w:ascii="Times New Roman" w:hAnsi="Times New Roman"/>
          <w:color w:val="202124"/>
          <w:sz w:val="22"/>
          <w:szCs w:val="22"/>
        </w:rPr>
        <w:t xml:space="preserve"> Hal ini konsisten dengan hasil uji stabilitas</w:t>
      </w:r>
      <w:r w:rsidRPr="001E4B81">
        <w:rPr>
          <w:rFonts w:ascii="Times New Roman" w:hAnsi="Times New Roman"/>
          <w:color w:val="202124"/>
          <w:sz w:val="22"/>
          <w:szCs w:val="22"/>
        </w:rPr>
        <w:t xml:space="preserve"> VAR, sehingga model dinyatakan layak digunakan untuk analisis dinamika kebijakan.</w:t>
      </w:r>
    </w:p>
    <w:p w14:paraId="27E40457" w14:textId="2BA45A78" w:rsidR="001E4B81" w:rsidRDefault="00E63013" w:rsidP="001E4B81">
      <w:r>
        <w:object w:dxaOrig="10283" w:dyaOrig="6788" w14:anchorId="49168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pt;height:368pt" o:ole="">
            <v:imagedata r:id="rId16" o:title=""/>
          </v:shape>
          <o:OLEObject Type="Embed" ProgID="EViews.Workfile.2" ShapeID="_x0000_i1025" DrawAspect="Content" ObjectID="_1838384134" r:id="rId17"/>
        </w:object>
      </w:r>
    </w:p>
    <w:p w14:paraId="718738DF" w14:textId="14E2B92E" w:rsidR="001E4B81" w:rsidRPr="0072750F" w:rsidRDefault="001E4B81" w:rsidP="0072750F">
      <w:pPr>
        <w:rPr>
          <w:b/>
        </w:rPr>
      </w:pPr>
      <w:proofErr w:type="gramStart"/>
      <w:r w:rsidRPr="0072750F">
        <w:rPr>
          <w:b/>
        </w:rPr>
        <w:t xml:space="preserve">Gambar </w:t>
      </w:r>
      <w:r w:rsidR="0045272C" w:rsidRPr="0072750F">
        <w:rPr>
          <w:b/>
        </w:rPr>
        <w:t>2</w:t>
      </w:r>
      <w:r w:rsidRPr="0072750F">
        <w:rPr>
          <w:b/>
        </w:rPr>
        <w:t>.</w:t>
      </w:r>
      <w:proofErr w:type="gramEnd"/>
      <w:r w:rsidRPr="0072750F">
        <w:rPr>
          <w:b/>
        </w:rPr>
        <w:t xml:space="preserve"> Hasil dari Multiple Graphs </w:t>
      </w:r>
      <w:r w:rsidR="00D26FA7" w:rsidRPr="0072750F">
        <w:rPr>
          <w:b/>
        </w:rPr>
        <w:t>(</w:t>
      </w:r>
      <w:r w:rsidR="00D26FA7" w:rsidRPr="0072750F">
        <w:rPr>
          <w:b/>
          <w:color w:val="202124"/>
        </w:rPr>
        <w:t>Impulse Response Function (IRF</w:t>
      </w:r>
      <w:r w:rsidRPr="0072750F">
        <w:rPr>
          <w:b/>
        </w:rPr>
        <w:t>)</w:t>
      </w:r>
    </w:p>
    <w:p w14:paraId="6B9DB6D9" w14:textId="77777777" w:rsidR="001E4B81" w:rsidRDefault="001E4B81" w:rsidP="001E4B81"/>
    <w:p w14:paraId="1C7C9C25" w14:textId="6369758D" w:rsidR="001E4B81" w:rsidRPr="004322AE" w:rsidRDefault="001E4B81" w:rsidP="001E4B81">
      <w:r>
        <w:object w:dxaOrig="10193" w:dyaOrig="8618" w14:anchorId="00A4D1BC">
          <v:shape id="_x0000_i1026" type="#_x0000_t75" style="width:468pt;height:334pt" o:ole="">
            <v:imagedata r:id="rId18" o:title=""/>
          </v:shape>
          <o:OLEObject Type="Embed" ProgID="EViews.Workfile.2" ShapeID="_x0000_i1026" DrawAspect="Content" ObjectID="_1838384135" r:id="rId19"/>
        </w:object>
      </w:r>
    </w:p>
    <w:p w14:paraId="5740B38F" w14:textId="138FB3CE" w:rsidR="001E4B81" w:rsidRPr="0072750F" w:rsidRDefault="001E4B81" w:rsidP="0072750F">
      <w:pPr>
        <w:rPr>
          <w:b/>
        </w:rPr>
      </w:pPr>
      <w:proofErr w:type="gramStart"/>
      <w:r w:rsidRPr="0072750F">
        <w:rPr>
          <w:b/>
        </w:rPr>
        <w:t xml:space="preserve">Gambar </w:t>
      </w:r>
      <w:r w:rsidR="0045272C" w:rsidRPr="0072750F">
        <w:rPr>
          <w:b/>
        </w:rPr>
        <w:t>3</w:t>
      </w:r>
      <w:r w:rsidRPr="0072750F">
        <w:rPr>
          <w:b/>
        </w:rPr>
        <w:t>.</w:t>
      </w:r>
      <w:proofErr w:type="gramEnd"/>
      <w:r w:rsidRPr="0072750F">
        <w:rPr>
          <w:b/>
        </w:rPr>
        <w:t xml:space="preserve"> Hasil dari Combined Graphs (</w:t>
      </w:r>
      <w:r w:rsidR="00D26FA7" w:rsidRPr="0072750F">
        <w:rPr>
          <w:b/>
          <w:color w:val="202124"/>
        </w:rPr>
        <w:t>Impulse Response Function (IRF</w:t>
      </w:r>
      <w:r w:rsidRPr="0072750F">
        <w:rPr>
          <w:b/>
        </w:rPr>
        <w:t>)</w:t>
      </w:r>
    </w:p>
    <w:p w14:paraId="66B7589A" w14:textId="195CCFFC" w:rsidR="001E4B81" w:rsidRDefault="001E4B81" w:rsidP="0072750F">
      <w:pPr>
        <w:pStyle w:val="HTMLPreformatted"/>
        <w:jc w:val="both"/>
        <w:rPr>
          <w:rFonts w:ascii="Times New Roman" w:hAnsi="Times New Roman"/>
          <w:color w:val="202124"/>
          <w:sz w:val="22"/>
          <w:szCs w:val="22"/>
        </w:rPr>
      </w:pPr>
      <w:proofErr w:type="gramStart"/>
      <w:r w:rsidRPr="0045272C">
        <w:rPr>
          <w:rFonts w:ascii="Times New Roman" w:hAnsi="Times New Roman"/>
          <w:color w:val="202124"/>
          <w:sz w:val="22"/>
          <w:szCs w:val="22"/>
        </w:rPr>
        <w:t>Dengan demikian, hasil IRF memperkuat temuan bahwa bauran kebijakan moneter dan fiskal memiliki peran penting dalam memengaruhi inflasi, pengangguran, dan pertumbuhan ekonomi di Indonesia.</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Kebijakan moneter berperan dominan dalam pengendalian inflasi, sementara kebijakan fiskal berkontribusi signifikan terhadap pertumbuhan ekonomi, dengan implikasi inflasi yang</w:t>
      </w:r>
      <w:r w:rsidRPr="001E4B81">
        <w:rPr>
          <w:rFonts w:ascii="Times New Roman" w:hAnsi="Times New Roman"/>
          <w:color w:val="202124"/>
          <w:sz w:val="22"/>
          <w:szCs w:val="22"/>
        </w:rPr>
        <w:t xml:space="preserve"> perlu dikelola melalui koordinasi kebijakan.</w:t>
      </w:r>
      <w:proofErr w:type="gramEnd"/>
    </w:p>
    <w:p w14:paraId="1069A3AE" w14:textId="77777777" w:rsidR="001E4B81" w:rsidRPr="00D26FA7" w:rsidRDefault="001E4B81" w:rsidP="0072750F">
      <w:pPr>
        <w:pStyle w:val="HTMLPreformatted"/>
        <w:jc w:val="both"/>
        <w:rPr>
          <w:rFonts w:ascii="Times New Roman" w:hAnsi="Times New Roman"/>
          <w:color w:val="202124"/>
          <w:sz w:val="22"/>
          <w:szCs w:val="22"/>
        </w:rPr>
      </w:pPr>
    </w:p>
    <w:p w14:paraId="335D8C19" w14:textId="240A4C72" w:rsidR="00D26FA7" w:rsidRPr="0072750F" w:rsidRDefault="0045272C" w:rsidP="0072750F">
      <w:pPr>
        <w:pStyle w:val="HTMLPreformatted"/>
        <w:jc w:val="both"/>
        <w:rPr>
          <w:rFonts w:ascii="Times New Roman" w:hAnsi="Times New Roman"/>
          <w:b/>
          <w:color w:val="202124"/>
          <w:sz w:val="22"/>
          <w:szCs w:val="22"/>
        </w:rPr>
      </w:pPr>
      <w:r w:rsidRPr="0072750F">
        <w:rPr>
          <w:rFonts w:ascii="Times New Roman" w:hAnsi="Times New Roman"/>
          <w:b/>
          <w:sz w:val="22"/>
          <w:szCs w:val="22"/>
        </w:rPr>
        <w:t>Forecast Error Variance Decomposition (FEVD)</w:t>
      </w:r>
    </w:p>
    <w:p w14:paraId="183DA98B" w14:textId="64205953" w:rsidR="00D26FA7" w:rsidRPr="0072750F" w:rsidRDefault="00D26FA7" w:rsidP="0072750F">
      <w:pPr>
        <w:pStyle w:val="Heading3"/>
        <w:spacing w:before="0" w:line="240" w:lineRule="auto"/>
        <w:rPr>
          <w:rFonts w:ascii="Times New Roman" w:hAnsi="Times New Roman"/>
          <w:bCs w:val="0"/>
          <w:color w:val="auto"/>
          <w:sz w:val="22"/>
          <w:szCs w:val="22"/>
        </w:rPr>
      </w:pPr>
      <w:proofErr w:type="gramStart"/>
      <w:r w:rsidRPr="0072750F">
        <w:rPr>
          <w:rFonts w:ascii="Times New Roman" w:hAnsi="Times New Roman"/>
          <w:bCs w:val="0"/>
          <w:color w:val="auto"/>
          <w:sz w:val="22"/>
          <w:szCs w:val="22"/>
        </w:rPr>
        <w:t>Tabel</w:t>
      </w:r>
      <w:r w:rsidR="0045272C" w:rsidRPr="0072750F">
        <w:rPr>
          <w:rFonts w:ascii="Times New Roman" w:hAnsi="Times New Roman"/>
          <w:bCs w:val="0"/>
          <w:color w:val="auto"/>
          <w:sz w:val="22"/>
          <w:szCs w:val="22"/>
        </w:rPr>
        <w:t xml:space="preserve"> 6</w:t>
      </w:r>
      <w:r w:rsidR="0072750F" w:rsidRPr="0072750F">
        <w:rPr>
          <w:rFonts w:ascii="Times New Roman" w:hAnsi="Times New Roman"/>
          <w:bCs w:val="0"/>
          <w:color w:val="auto"/>
          <w:sz w:val="22"/>
          <w:szCs w:val="22"/>
        </w:rPr>
        <w:t>.</w:t>
      </w:r>
      <w:proofErr w:type="gramEnd"/>
      <w:r w:rsidR="0072750F" w:rsidRPr="0072750F">
        <w:rPr>
          <w:rFonts w:ascii="Times New Roman" w:hAnsi="Times New Roman"/>
          <w:bCs w:val="0"/>
          <w:color w:val="auto"/>
          <w:sz w:val="22"/>
          <w:szCs w:val="22"/>
        </w:rPr>
        <w:t xml:space="preserve"> </w:t>
      </w:r>
      <w:r w:rsidRPr="0072750F">
        <w:rPr>
          <w:rFonts w:ascii="Times New Roman" w:hAnsi="Times New Roman"/>
          <w:color w:val="auto"/>
          <w:sz w:val="22"/>
          <w:szCs w:val="22"/>
        </w:rPr>
        <w:t>Ringkasan FEVD (Horizon Jangka Menengah–Panjang)</w:t>
      </w:r>
    </w:p>
    <w:tbl>
      <w:tblPr>
        <w:tblStyle w:val="PlainTable21"/>
        <w:tblW w:w="0" w:type="auto"/>
        <w:tblBorders>
          <w:top w:val="double" w:sz="4" w:space="0" w:color="auto"/>
          <w:bottom w:val="double" w:sz="4" w:space="0" w:color="auto"/>
        </w:tblBorders>
        <w:tblLook w:val="04A0" w:firstRow="1" w:lastRow="0" w:firstColumn="1" w:lastColumn="0" w:noHBand="0" w:noVBand="1"/>
      </w:tblPr>
      <w:tblGrid>
        <w:gridCol w:w="2112"/>
        <w:gridCol w:w="1822"/>
        <w:gridCol w:w="2329"/>
        <w:gridCol w:w="3025"/>
      </w:tblGrid>
      <w:tr w:rsidR="00D26FA7" w:rsidRPr="00D26FA7" w14:paraId="697FBAE4" w14:textId="77777777" w:rsidTr="00E630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double" w:sz="4" w:space="0" w:color="auto"/>
            </w:tcBorders>
            <w:hideMark/>
          </w:tcPr>
          <w:p w14:paraId="040834A5" w14:textId="77777777" w:rsidR="00D26FA7" w:rsidRPr="00D26FA7" w:rsidRDefault="00D26FA7" w:rsidP="00D26FA7">
            <w:pPr>
              <w:pStyle w:val="HTMLPreformatted"/>
              <w:ind w:left="360"/>
              <w:jc w:val="both"/>
              <w:rPr>
                <w:rFonts w:ascii="Times New Roman" w:hAnsi="Times New Roman"/>
                <w:color w:val="202124"/>
                <w:sz w:val="22"/>
                <w:szCs w:val="22"/>
              </w:rPr>
            </w:pPr>
            <w:r w:rsidRPr="00D26FA7">
              <w:rPr>
                <w:rFonts w:ascii="Times New Roman" w:hAnsi="Times New Roman"/>
                <w:color w:val="202124"/>
                <w:sz w:val="22"/>
                <w:szCs w:val="22"/>
              </w:rPr>
              <w:t>Variabel</w:t>
            </w:r>
          </w:p>
        </w:tc>
        <w:tc>
          <w:tcPr>
            <w:tcW w:w="0" w:type="auto"/>
            <w:tcBorders>
              <w:top w:val="double" w:sz="4" w:space="0" w:color="auto"/>
              <w:bottom w:val="double" w:sz="4" w:space="0" w:color="auto"/>
            </w:tcBorders>
            <w:hideMark/>
          </w:tcPr>
          <w:p w14:paraId="49D8517E" w14:textId="77777777" w:rsidR="00D26FA7" w:rsidRPr="00D26FA7" w:rsidRDefault="00D26FA7" w:rsidP="00D26FA7">
            <w:pPr>
              <w:pStyle w:val="HTMLPreformatted"/>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Sumber Variasi Dominan</w:t>
            </w:r>
          </w:p>
        </w:tc>
        <w:tc>
          <w:tcPr>
            <w:tcW w:w="0" w:type="auto"/>
            <w:tcBorders>
              <w:top w:val="double" w:sz="4" w:space="0" w:color="auto"/>
              <w:bottom w:val="double" w:sz="4" w:space="0" w:color="auto"/>
            </w:tcBorders>
            <w:hideMark/>
          </w:tcPr>
          <w:p w14:paraId="0ABB276B" w14:textId="77777777" w:rsidR="00D26FA7" w:rsidRPr="00D26FA7" w:rsidRDefault="00D26FA7" w:rsidP="00D26FA7">
            <w:pPr>
              <w:pStyle w:val="HTMLPreformatted"/>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Kontribusi Utama (</w:t>
            </w:r>
            <w:proofErr w:type="gramStart"/>
            <w:r w:rsidRPr="00D26FA7">
              <w:rPr>
                <w:rFonts w:ascii="Times New Roman" w:hAnsi="Times New Roman"/>
                <w:color w:val="202124"/>
                <w:sz w:val="22"/>
                <w:szCs w:val="22"/>
              </w:rPr>
              <w:t>≈%</w:t>
            </w:r>
            <w:proofErr w:type="gramEnd"/>
            <w:r w:rsidRPr="00D26FA7">
              <w:rPr>
                <w:rFonts w:ascii="Times New Roman" w:hAnsi="Times New Roman"/>
                <w:color w:val="202124"/>
                <w:sz w:val="22"/>
                <w:szCs w:val="22"/>
              </w:rPr>
              <w:t>)</w:t>
            </w:r>
          </w:p>
        </w:tc>
        <w:tc>
          <w:tcPr>
            <w:tcW w:w="0" w:type="auto"/>
            <w:tcBorders>
              <w:top w:val="double" w:sz="4" w:space="0" w:color="auto"/>
              <w:bottom w:val="double" w:sz="4" w:space="0" w:color="auto"/>
            </w:tcBorders>
            <w:hideMark/>
          </w:tcPr>
          <w:p w14:paraId="48E3E2C7" w14:textId="77777777" w:rsidR="00D26FA7" w:rsidRPr="00D26FA7" w:rsidRDefault="00D26FA7" w:rsidP="00D26FA7">
            <w:pPr>
              <w:pStyle w:val="HTMLPreformatted"/>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Interpretasi Inti</w:t>
            </w:r>
          </w:p>
        </w:tc>
      </w:tr>
      <w:tr w:rsidR="00D26FA7" w:rsidRPr="00D26FA7" w14:paraId="3F582684" w14:textId="77777777" w:rsidTr="00E63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none" w:sz="0" w:space="0" w:color="auto"/>
            </w:tcBorders>
            <w:hideMark/>
          </w:tcPr>
          <w:p w14:paraId="6431AB6C" w14:textId="77777777" w:rsidR="00D26FA7" w:rsidRPr="00E63013" w:rsidRDefault="00D26FA7" w:rsidP="00D26FA7">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BI_RATE</w:t>
            </w:r>
          </w:p>
        </w:tc>
        <w:tc>
          <w:tcPr>
            <w:tcW w:w="0" w:type="auto"/>
            <w:tcBorders>
              <w:top w:val="double" w:sz="4" w:space="0" w:color="auto"/>
              <w:bottom w:val="none" w:sz="0" w:space="0" w:color="auto"/>
            </w:tcBorders>
            <w:hideMark/>
          </w:tcPr>
          <w:p w14:paraId="608A2BF8"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BI_RATE sendiri</w:t>
            </w:r>
          </w:p>
        </w:tc>
        <w:tc>
          <w:tcPr>
            <w:tcW w:w="0" w:type="auto"/>
            <w:tcBorders>
              <w:top w:val="double" w:sz="4" w:space="0" w:color="auto"/>
              <w:bottom w:val="none" w:sz="0" w:space="0" w:color="auto"/>
            </w:tcBorders>
            <w:hideMark/>
          </w:tcPr>
          <w:p w14:paraId="2FC5ABDA"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~72–100</w:t>
            </w:r>
          </w:p>
        </w:tc>
        <w:tc>
          <w:tcPr>
            <w:tcW w:w="0" w:type="auto"/>
            <w:tcBorders>
              <w:top w:val="double" w:sz="4" w:space="0" w:color="auto"/>
              <w:bottom w:val="none" w:sz="0" w:space="0" w:color="auto"/>
            </w:tcBorders>
            <w:hideMark/>
          </w:tcPr>
          <w:p w14:paraId="4D5E8D1B"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Suku bunga kebijakan sangat eksogen; shock terutama berasal dari kebijakan itu sendiri</w:t>
            </w:r>
          </w:p>
        </w:tc>
      </w:tr>
      <w:tr w:rsidR="00D26FA7" w:rsidRPr="00D26FA7" w14:paraId="653A8DBB" w14:textId="77777777" w:rsidTr="00E63013">
        <w:tc>
          <w:tcPr>
            <w:cnfStyle w:val="001000000000" w:firstRow="0" w:lastRow="0" w:firstColumn="1" w:lastColumn="0" w:oddVBand="0" w:evenVBand="0" w:oddHBand="0" w:evenHBand="0" w:firstRowFirstColumn="0" w:firstRowLastColumn="0" w:lastRowFirstColumn="0" w:lastRowLastColumn="0"/>
            <w:tcW w:w="0" w:type="auto"/>
            <w:hideMark/>
          </w:tcPr>
          <w:p w14:paraId="33CA6A66" w14:textId="4896E3B4" w:rsidR="00D26FA7" w:rsidRPr="00E63013" w:rsidRDefault="009F453B" w:rsidP="00D26FA7">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U</w:t>
            </w:r>
            <w:r w:rsidR="00D26FA7" w:rsidRPr="00E63013">
              <w:rPr>
                <w:rFonts w:ascii="Times New Roman" w:hAnsi="Times New Roman"/>
                <w:b w:val="0"/>
                <w:bCs w:val="0"/>
                <w:color w:val="202124"/>
                <w:sz w:val="22"/>
                <w:szCs w:val="22"/>
              </w:rPr>
              <w:t>EMP (Pengangguran)</w:t>
            </w:r>
          </w:p>
        </w:tc>
        <w:tc>
          <w:tcPr>
            <w:tcW w:w="0" w:type="auto"/>
            <w:hideMark/>
          </w:tcPr>
          <w:p w14:paraId="776099BA"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EMP sendiri; GDP; GOV</w:t>
            </w:r>
          </w:p>
        </w:tc>
        <w:tc>
          <w:tcPr>
            <w:tcW w:w="0" w:type="auto"/>
            <w:hideMark/>
          </w:tcPr>
          <w:p w14:paraId="4FF66A22"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~48–96 (EMP), ~15 (GDP), ~25 (GOV)</w:t>
            </w:r>
          </w:p>
        </w:tc>
        <w:tc>
          <w:tcPr>
            <w:tcW w:w="0" w:type="auto"/>
            <w:hideMark/>
          </w:tcPr>
          <w:p w14:paraId="3B52740B"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Pasar tenaga kerja dipengaruhi kuat faktor internal &amp; aktivitas riil/fiskal</w:t>
            </w:r>
          </w:p>
        </w:tc>
      </w:tr>
      <w:tr w:rsidR="00D26FA7" w:rsidRPr="00D26FA7" w14:paraId="68969097" w14:textId="77777777" w:rsidTr="00E63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il"/>
            </w:tcBorders>
            <w:hideMark/>
          </w:tcPr>
          <w:p w14:paraId="125C2091" w14:textId="77777777" w:rsidR="00D26FA7" w:rsidRPr="00E63013" w:rsidRDefault="00D26FA7" w:rsidP="00D26FA7">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GDP</w:t>
            </w:r>
          </w:p>
        </w:tc>
        <w:tc>
          <w:tcPr>
            <w:tcW w:w="0" w:type="auto"/>
            <w:tcBorders>
              <w:top w:val="none" w:sz="0" w:space="0" w:color="auto"/>
              <w:bottom w:val="nil"/>
            </w:tcBorders>
            <w:hideMark/>
          </w:tcPr>
          <w:p w14:paraId="735A2826"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GDP sendiri</w:t>
            </w:r>
          </w:p>
        </w:tc>
        <w:tc>
          <w:tcPr>
            <w:tcW w:w="0" w:type="auto"/>
            <w:tcBorders>
              <w:top w:val="none" w:sz="0" w:space="0" w:color="auto"/>
              <w:bottom w:val="nil"/>
            </w:tcBorders>
            <w:hideMark/>
          </w:tcPr>
          <w:p w14:paraId="64C332F6"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~82–90</w:t>
            </w:r>
          </w:p>
        </w:tc>
        <w:tc>
          <w:tcPr>
            <w:tcW w:w="0" w:type="auto"/>
            <w:tcBorders>
              <w:top w:val="none" w:sz="0" w:space="0" w:color="auto"/>
              <w:bottom w:val="nil"/>
            </w:tcBorders>
            <w:hideMark/>
          </w:tcPr>
          <w:p w14:paraId="2F86FCA2"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Pertumbuhan bersifat endogen; kebijakan berdampak namun relatif kecil</w:t>
            </w:r>
          </w:p>
        </w:tc>
      </w:tr>
      <w:tr w:rsidR="00D26FA7" w:rsidRPr="00D26FA7" w14:paraId="77BD829A" w14:textId="77777777" w:rsidTr="00E63013">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335E478" w14:textId="77777777" w:rsidR="00D26FA7" w:rsidRPr="00E63013" w:rsidRDefault="00D26FA7" w:rsidP="00D26FA7">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GOV (Belanja)</w:t>
            </w:r>
          </w:p>
        </w:tc>
        <w:tc>
          <w:tcPr>
            <w:tcW w:w="0" w:type="auto"/>
            <w:tcBorders>
              <w:top w:val="nil"/>
              <w:bottom w:val="nil"/>
            </w:tcBorders>
            <w:hideMark/>
          </w:tcPr>
          <w:p w14:paraId="758AB3D8"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GOV sendiri; GDP</w:t>
            </w:r>
          </w:p>
        </w:tc>
        <w:tc>
          <w:tcPr>
            <w:tcW w:w="0" w:type="auto"/>
            <w:tcBorders>
              <w:top w:val="nil"/>
              <w:bottom w:val="nil"/>
            </w:tcBorders>
            <w:hideMark/>
          </w:tcPr>
          <w:p w14:paraId="6522672B"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~56–65 (GOV), ~23–36 (GDP)</w:t>
            </w:r>
          </w:p>
        </w:tc>
        <w:tc>
          <w:tcPr>
            <w:tcW w:w="0" w:type="auto"/>
            <w:tcBorders>
              <w:top w:val="nil"/>
              <w:bottom w:val="nil"/>
            </w:tcBorders>
            <w:hideMark/>
          </w:tcPr>
          <w:p w14:paraId="73DCC6A4"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Belanja didorong dinamika fiskal internal &amp; siklus ekonomi</w:t>
            </w:r>
          </w:p>
        </w:tc>
      </w:tr>
      <w:tr w:rsidR="00D26FA7" w:rsidRPr="00D26FA7" w14:paraId="0DFEDA13" w14:textId="77777777" w:rsidTr="00E63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C48460E" w14:textId="77777777" w:rsidR="00D26FA7" w:rsidRPr="00E63013" w:rsidRDefault="00D26FA7" w:rsidP="00D26FA7">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INF (Inflasi)</w:t>
            </w:r>
          </w:p>
        </w:tc>
        <w:tc>
          <w:tcPr>
            <w:tcW w:w="0" w:type="auto"/>
            <w:tcBorders>
              <w:top w:val="nil"/>
              <w:bottom w:val="nil"/>
            </w:tcBorders>
            <w:hideMark/>
          </w:tcPr>
          <w:p w14:paraId="3BB46785"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 xml:space="preserve">BI_RATE; </w:t>
            </w:r>
            <w:r w:rsidRPr="00D26FA7">
              <w:rPr>
                <w:rFonts w:ascii="Times New Roman" w:hAnsi="Times New Roman"/>
                <w:color w:val="202124"/>
                <w:sz w:val="22"/>
                <w:szCs w:val="22"/>
              </w:rPr>
              <w:lastRenderedPageBreak/>
              <w:t>GDP; GOV</w:t>
            </w:r>
          </w:p>
        </w:tc>
        <w:tc>
          <w:tcPr>
            <w:tcW w:w="0" w:type="auto"/>
            <w:tcBorders>
              <w:top w:val="nil"/>
              <w:bottom w:val="nil"/>
            </w:tcBorders>
            <w:hideMark/>
          </w:tcPr>
          <w:p w14:paraId="12F42A64"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lastRenderedPageBreak/>
              <w:t xml:space="preserve">~66–80 </w:t>
            </w:r>
            <w:r w:rsidRPr="00D26FA7">
              <w:rPr>
                <w:rFonts w:ascii="Times New Roman" w:hAnsi="Times New Roman"/>
                <w:color w:val="202124"/>
                <w:sz w:val="22"/>
                <w:szCs w:val="22"/>
              </w:rPr>
              <w:lastRenderedPageBreak/>
              <w:t>(BI_RATE), ~6–9 (GDP), ~3–8 (GOV)</w:t>
            </w:r>
          </w:p>
        </w:tc>
        <w:tc>
          <w:tcPr>
            <w:tcW w:w="0" w:type="auto"/>
            <w:tcBorders>
              <w:top w:val="nil"/>
              <w:bottom w:val="nil"/>
            </w:tcBorders>
            <w:hideMark/>
          </w:tcPr>
          <w:p w14:paraId="3C0B0656"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lastRenderedPageBreak/>
              <w:t xml:space="preserve">Inflasi sangat sensitif </w:t>
            </w:r>
            <w:r w:rsidRPr="00D26FA7">
              <w:rPr>
                <w:rFonts w:ascii="Times New Roman" w:hAnsi="Times New Roman"/>
                <w:color w:val="202124"/>
                <w:sz w:val="22"/>
                <w:szCs w:val="22"/>
              </w:rPr>
              <w:lastRenderedPageBreak/>
              <w:t>terhadap kebijakan moneter</w:t>
            </w:r>
          </w:p>
        </w:tc>
      </w:tr>
      <w:tr w:rsidR="00D26FA7" w:rsidRPr="00D26FA7" w14:paraId="7197AFAE" w14:textId="77777777" w:rsidTr="00E63013">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0500D3A9" w14:textId="77777777" w:rsidR="00D26FA7" w:rsidRPr="00E63013" w:rsidRDefault="00D26FA7" w:rsidP="00D26FA7">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lastRenderedPageBreak/>
              <w:t>KURS (Nilai Tukar)</w:t>
            </w:r>
          </w:p>
        </w:tc>
        <w:tc>
          <w:tcPr>
            <w:tcW w:w="0" w:type="auto"/>
            <w:tcBorders>
              <w:top w:val="nil"/>
            </w:tcBorders>
            <w:hideMark/>
          </w:tcPr>
          <w:p w14:paraId="0BC4BC2F"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KURS sendiri; GDP; GOV</w:t>
            </w:r>
          </w:p>
        </w:tc>
        <w:tc>
          <w:tcPr>
            <w:tcW w:w="0" w:type="auto"/>
            <w:tcBorders>
              <w:top w:val="nil"/>
            </w:tcBorders>
            <w:hideMark/>
          </w:tcPr>
          <w:p w14:paraId="15741CFC"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~34–60 (KURS), ~6–16 (GDP), ~12–29 (GOV)</w:t>
            </w:r>
          </w:p>
        </w:tc>
        <w:tc>
          <w:tcPr>
            <w:tcW w:w="0" w:type="auto"/>
            <w:tcBorders>
              <w:top w:val="nil"/>
            </w:tcBorders>
            <w:hideMark/>
          </w:tcPr>
          <w:p w14:paraId="2288B515" w14:textId="77777777" w:rsidR="00D26FA7" w:rsidRPr="00D26FA7" w:rsidRDefault="00D26FA7" w:rsidP="00D26FA7">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Kurs dipengaruhi faktor eksternal &amp; aktivitas domestik</w:t>
            </w:r>
          </w:p>
        </w:tc>
      </w:tr>
      <w:tr w:rsidR="00D26FA7" w:rsidRPr="00D26FA7" w14:paraId="6EDF7076" w14:textId="77777777" w:rsidTr="00E63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633BAA3C" w14:textId="77777777" w:rsidR="00D26FA7" w:rsidRPr="00E63013" w:rsidRDefault="00D26FA7" w:rsidP="00D26FA7">
            <w:pPr>
              <w:pStyle w:val="HTMLPreformatted"/>
              <w:ind w:left="360"/>
              <w:jc w:val="both"/>
              <w:rPr>
                <w:rFonts w:ascii="Times New Roman" w:hAnsi="Times New Roman"/>
                <w:b w:val="0"/>
                <w:bCs w:val="0"/>
                <w:color w:val="202124"/>
                <w:sz w:val="22"/>
                <w:szCs w:val="22"/>
              </w:rPr>
            </w:pPr>
            <w:r w:rsidRPr="00E63013">
              <w:rPr>
                <w:rFonts w:ascii="Times New Roman" w:hAnsi="Times New Roman"/>
                <w:b w:val="0"/>
                <w:bCs w:val="0"/>
                <w:color w:val="202124"/>
                <w:sz w:val="22"/>
                <w:szCs w:val="22"/>
              </w:rPr>
              <w:t>TAX (Pajak)</w:t>
            </w:r>
          </w:p>
        </w:tc>
        <w:tc>
          <w:tcPr>
            <w:tcW w:w="0" w:type="auto"/>
            <w:tcBorders>
              <w:top w:val="none" w:sz="0" w:space="0" w:color="auto"/>
              <w:bottom w:val="none" w:sz="0" w:space="0" w:color="auto"/>
            </w:tcBorders>
            <w:hideMark/>
          </w:tcPr>
          <w:p w14:paraId="02FE9BBD"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GDP; GOV; BI_RATE</w:t>
            </w:r>
          </w:p>
        </w:tc>
        <w:tc>
          <w:tcPr>
            <w:tcW w:w="0" w:type="auto"/>
            <w:tcBorders>
              <w:top w:val="none" w:sz="0" w:space="0" w:color="auto"/>
              <w:bottom w:val="none" w:sz="0" w:space="0" w:color="auto"/>
            </w:tcBorders>
            <w:hideMark/>
          </w:tcPr>
          <w:p w14:paraId="7CA95043"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~47–60 (GDP), ~18–41 (GOV), ~4–6 (BI_RATE)</w:t>
            </w:r>
          </w:p>
        </w:tc>
        <w:tc>
          <w:tcPr>
            <w:tcW w:w="0" w:type="auto"/>
            <w:tcBorders>
              <w:top w:val="none" w:sz="0" w:space="0" w:color="auto"/>
              <w:bottom w:val="none" w:sz="0" w:space="0" w:color="auto"/>
            </w:tcBorders>
            <w:hideMark/>
          </w:tcPr>
          <w:p w14:paraId="067919CD" w14:textId="77777777" w:rsidR="00D26FA7" w:rsidRPr="00D26FA7" w:rsidRDefault="00D26FA7" w:rsidP="00D26FA7">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22"/>
                <w:szCs w:val="22"/>
              </w:rPr>
            </w:pPr>
            <w:r w:rsidRPr="00D26FA7">
              <w:rPr>
                <w:rFonts w:ascii="Times New Roman" w:hAnsi="Times New Roman"/>
                <w:color w:val="202124"/>
                <w:sz w:val="22"/>
                <w:szCs w:val="22"/>
              </w:rPr>
              <w:t>Penerimaan pajak sangat bergantung pada basis ekonomi &amp; kebijakan fiskal</w:t>
            </w:r>
          </w:p>
        </w:tc>
      </w:tr>
    </w:tbl>
    <w:p w14:paraId="166E679F" w14:textId="77777777" w:rsidR="009F453B" w:rsidRDefault="009F453B" w:rsidP="00D26FA7">
      <w:pPr>
        <w:pStyle w:val="HTMLPreformatted"/>
        <w:ind w:left="360"/>
        <w:jc w:val="both"/>
        <w:rPr>
          <w:rFonts w:ascii="Times New Roman" w:hAnsi="Times New Roman"/>
          <w:color w:val="202124"/>
          <w:sz w:val="22"/>
          <w:szCs w:val="22"/>
        </w:rPr>
      </w:pPr>
    </w:p>
    <w:p w14:paraId="786BF48A" w14:textId="739E2E98" w:rsidR="00D26FA7" w:rsidRPr="0045272C" w:rsidRDefault="00D26FA7" w:rsidP="0072750F">
      <w:pPr>
        <w:pStyle w:val="HTMLPreformatted"/>
        <w:jc w:val="both"/>
        <w:rPr>
          <w:rFonts w:ascii="Times New Roman" w:hAnsi="Times New Roman"/>
          <w:color w:val="202124"/>
          <w:sz w:val="22"/>
          <w:szCs w:val="22"/>
        </w:rPr>
      </w:pPr>
      <w:r w:rsidRPr="00D26FA7">
        <w:rPr>
          <w:rFonts w:ascii="Times New Roman" w:hAnsi="Times New Roman"/>
          <w:color w:val="202124"/>
          <w:sz w:val="22"/>
          <w:szCs w:val="22"/>
        </w:rPr>
        <w:t xml:space="preserve">Catatan: Persentase diringkas dari horizon periode 5–10 (jangka menengah–panjang) untuk menonjolkan pola dominan, </w:t>
      </w:r>
      <w:r w:rsidRPr="0045272C">
        <w:rPr>
          <w:rFonts w:ascii="Times New Roman" w:hAnsi="Times New Roman"/>
          <w:color w:val="202124"/>
          <w:sz w:val="22"/>
          <w:szCs w:val="22"/>
        </w:rPr>
        <w:t xml:space="preserve">bukan fluktuasi awal. </w:t>
      </w:r>
      <w:proofErr w:type="gramStart"/>
      <w:r w:rsidRPr="0045272C">
        <w:rPr>
          <w:rFonts w:ascii="Times New Roman" w:hAnsi="Times New Roman"/>
          <w:color w:val="202124"/>
          <w:sz w:val="22"/>
          <w:szCs w:val="22"/>
        </w:rPr>
        <w:t>Berikut penjelasan dari tabel tersebut.</w:t>
      </w:r>
      <w:proofErr w:type="gramEnd"/>
    </w:p>
    <w:p w14:paraId="16B049FB" w14:textId="7FDA1626" w:rsidR="00D26FA7" w:rsidRPr="0045272C" w:rsidRDefault="00D26FA7" w:rsidP="00D26FA7">
      <w:pPr>
        <w:pStyle w:val="HTMLPreformatted"/>
        <w:numPr>
          <w:ilvl w:val="0"/>
          <w:numId w:val="45"/>
        </w:numPr>
        <w:jc w:val="both"/>
        <w:rPr>
          <w:rFonts w:ascii="Times New Roman" w:hAnsi="Times New Roman"/>
          <w:color w:val="202124"/>
          <w:sz w:val="22"/>
          <w:szCs w:val="22"/>
        </w:rPr>
      </w:pPr>
      <w:r w:rsidRPr="0045272C">
        <w:rPr>
          <w:rFonts w:ascii="Times New Roman" w:hAnsi="Times New Roman"/>
          <w:color w:val="202124"/>
          <w:sz w:val="22"/>
          <w:szCs w:val="22"/>
        </w:rPr>
        <w:t>Suku Bunga (BI_RATE).</w:t>
      </w:r>
    </w:p>
    <w:p w14:paraId="067DA5E3" w14:textId="6E7702DA" w:rsidR="00D26FA7" w:rsidRPr="0045272C" w:rsidRDefault="00D26FA7" w:rsidP="00D26FA7">
      <w:pPr>
        <w:pStyle w:val="HTMLPreformatted"/>
        <w:ind w:left="720"/>
        <w:jc w:val="both"/>
        <w:rPr>
          <w:rFonts w:ascii="Times New Roman" w:hAnsi="Times New Roman"/>
          <w:color w:val="202124"/>
          <w:sz w:val="22"/>
          <w:szCs w:val="22"/>
        </w:rPr>
      </w:pPr>
      <w:proofErr w:type="gramStart"/>
      <w:r w:rsidRPr="0045272C">
        <w:rPr>
          <w:rFonts w:ascii="Times New Roman" w:hAnsi="Times New Roman"/>
          <w:color w:val="202124"/>
          <w:sz w:val="22"/>
          <w:szCs w:val="22"/>
        </w:rPr>
        <w:t>FEVD menunjukkan bahwa variasi BI_RATE pada seluruh horizon didominasi oleh shock BI_RATE itu sendiri (sekitar 72–100%).</w:t>
      </w:r>
      <w:proofErr w:type="gramEnd"/>
      <w:r w:rsidRPr="0045272C">
        <w:rPr>
          <w:rFonts w:ascii="Times New Roman" w:hAnsi="Times New Roman"/>
          <w:color w:val="202124"/>
          <w:sz w:val="22"/>
          <w:szCs w:val="22"/>
        </w:rPr>
        <w:t xml:space="preserve"> Ini menandakan suku bunga kebijakan sangat eksogen dan mencerminkan keputusan otoritas moneter yang relatif independen dari variabel </w:t>
      </w:r>
      <w:proofErr w:type="gramStart"/>
      <w:r w:rsidRPr="0045272C">
        <w:rPr>
          <w:rFonts w:ascii="Times New Roman" w:hAnsi="Times New Roman"/>
          <w:color w:val="202124"/>
          <w:sz w:val="22"/>
          <w:szCs w:val="22"/>
        </w:rPr>
        <w:t>lain</w:t>
      </w:r>
      <w:proofErr w:type="gramEnd"/>
      <w:r w:rsidRPr="0045272C">
        <w:rPr>
          <w:rFonts w:ascii="Times New Roman" w:hAnsi="Times New Roman"/>
          <w:color w:val="202124"/>
          <w:sz w:val="22"/>
          <w:szCs w:val="22"/>
        </w:rPr>
        <w:t xml:space="preserve"> dalam jangka pendek–menengah.</w:t>
      </w:r>
    </w:p>
    <w:p w14:paraId="59F2951C" w14:textId="747C0615" w:rsidR="00D26FA7" w:rsidRPr="0045272C" w:rsidRDefault="00D26FA7" w:rsidP="00D26FA7">
      <w:pPr>
        <w:pStyle w:val="HTMLPreformatted"/>
        <w:numPr>
          <w:ilvl w:val="0"/>
          <w:numId w:val="45"/>
        </w:numPr>
        <w:jc w:val="both"/>
        <w:rPr>
          <w:rFonts w:ascii="Times New Roman" w:hAnsi="Times New Roman"/>
          <w:color w:val="202124"/>
          <w:sz w:val="22"/>
          <w:szCs w:val="22"/>
        </w:rPr>
      </w:pPr>
      <w:r w:rsidRPr="0045272C">
        <w:rPr>
          <w:rFonts w:ascii="Times New Roman" w:hAnsi="Times New Roman"/>
          <w:color w:val="202124"/>
          <w:sz w:val="22"/>
          <w:szCs w:val="22"/>
        </w:rPr>
        <w:t>Inflasi (INF).</w:t>
      </w:r>
    </w:p>
    <w:p w14:paraId="5965A92B" w14:textId="426914BD" w:rsidR="00D26FA7" w:rsidRPr="0045272C" w:rsidRDefault="00D26FA7" w:rsidP="00D26FA7">
      <w:pPr>
        <w:pStyle w:val="HTMLPreformatted"/>
        <w:ind w:left="720"/>
        <w:jc w:val="both"/>
        <w:rPr>
          <w:rFonts w:ascii="Times New Roman" w:hAnsi="Times New Roman"/>
          <w:color w:val="202124"/>
          <w:sz w:val="22"/>
          <w:szCs w:val="22"/>
        </w:rPr>
      </w:pPr>
      <w:proofErr w:type="gramStart"/>
      <w:r w:rsidRPr="0045272C">
        <w:rPr>
          <w:rFonts w:ascii="Times New Roman" w:hAnsi="Times New Roman"/>
          <w:color w:val="202124"/>
          <w:sz w:val="22"/>
          <w:szCs w:val="22"/>
        </w:rPr>
        <w:t>Variasi inflasi paling besar dijelaskan oleh BI_RATE (sekitar 66–80%), diikuti kontribusi GDP dan GOV. Temuan ini menegaskan peran dominan kebijakan moneter dalam pengendalian inflasi, dengan dukungan faktor riil dan fiskal.</w:t>
      </w:r>
      <w:proofErr w:type="gramEnd"/>
    </w:p>
    <w:p w14:paraId="699BD994" w14:textId="3D544B37" w:rsidR="00D26FA7" w:rsidRPr="0045272C" w:rsidRDefault="00D26FA7" w:rsidP="00D26FA7">
      <w:pPr>
        <w:pStyle w:val="HTMLPreformatted"/>
        <w:numPr>
          <w:ilvl w:val="0"/>
          <w:numId w:val="45"/>
        </w:numPr>
        <w:jc w:val="both"/>
        <w:rPr>
          <w:rFonts w:ascii="Times New Roman" w:hAnsi="Times New Roman"/>
          <w:color w:val="202124"/>
          <w:sz w:val="22"/>
          <w:szCs w:val="22"/>
        </w:rPr>
      </w:pPr>
      <w:r w:rsidRPr="0045272C">
        <w:rPr>
          <w:rFonts w:ascii="Times New Roman" w:hAnsi="Times New Roman"/>
          <w:color w:val="202124"/>
          <w:sz w:val="22"/>
          <w:szCs w:val="22"/>
        </w:rPr>
        <w:t>Pengangguran (EMP).</w:t>
      </w:r>
    </w:p>
    <w:p w14:paraId="6C41215A" w14:textId="19A978DA" w:rsidR="00D26FA7" w:rsidRPr="0045272C" w:rsidRDefault="00D26FA7" w:rsidP="00D26FA7">
      <w:pPr>
        <w:pStyle w:val="HTMLPreformatted"/>
        <w:ind w:left="720"/>
        <w:jc w:val="both"/>
        <w:rPr>
          <w:rFonts w:ascii="Times New Roman" w:hAnsi="Times New Roman"/>
          <w:color w:val="202124"/>
          <w:sz w:val="22"/>
          <w:szCs w:val="22"/>
        </w:rPr>
      </w:pPr>
      <w:r w:rsidRPr="0045272C">
        <w:rPr>
          <w:rFonts w:ascii="Times New Roman" w:hAnsi="Times New Roman"/>
          <w:color w:val="202124"/>
          <w:sz w:val="22"/>
          <w:szCs w:val="22"/>
        </w:rPr>
        <w:t xml:space="preserve">Variasi pengangguran terutama berasal dari shock internal EMP, namun GDP dan GOV memberikan kontribusi yang meningkat pada horizon lebih panjang. </w:t>
      </w:r>
      <w:proofErr w:type="gramStart"/>
      <w:r w:rsidRPr="0045272C">
        <w:rPr>
          <w:rFonts w:ascii="Times New Roman" w:hAnsi="Times New Roman"/>
          <w:color w:val="202124"/>
          <w:sz w:val="22"/>
          <w:szCs w:val="22"/>
        </w:rPr>
        <w:t>Artinya, kondisi pasar tenaga kerja sangat dipengaruhi oleh dinamika ekonomi riil dan kebijakan fiskal.</w:t>
      </w:r>
      <w:proofErr w:type="gramEnd"/>
    </w:p>
    <w:p w14:paraId="58EE458E" w14:textId="04568CC2" w:rsidR="00D26FA7" w:rsidRPr="0045272C" w:rsidRDefault="00D26FA7" w:rsidP="00D26FA7">
      <w:pPr>
        <w:pStyle w:val="HTMLPreformatted"/>
        <w:numPr>
          <w:ilvl w:val="0"/>
          <w:numId w:val="45"/>
        </w:numPr>
        <w:jc w:val="both"/>
        <w:rPr>
          <w:rFonts w:ascii="Times New Roman" w:hAnsi="Times New Roman"/>
          <w:color w:val="202124"/>
          <w:sz w:val="22"/>
          <w:szCs w:val="22"/>
        </w:rPr>
      </w:pPr>
      <w:r w:rsidRPr="0045272C">
        <w:rPr>
          <w:rFonts w:ascii="Times New Roman" w:hAnsi="Times New Roman"/>
          <w:color w:val="202124"/>
          <w:sz w:val="22"/>
          <w:szCs w:val="22"/>
        </w:rPr>
        <w:t>Pertumbuhan Ekonomi (GDP)</w:t>
      </w:r>
    </w:p>
    <w:p w14:paraId="03A725DD" w14:textId="73205CAF" w:rsidR="00D26FA7" w:rsidRPr="0045272C" w:rsidRDefault="00D26FA7" w:rsidP="00D26FA7">
      <w:pPr>
        <w:pStyle w:val="HTMLPreformatted"/>
        <w:ind w:left="720"/>
        <w:jc w:val="both"/>
        <w:rPr>
          <w:rFonts w:ascii="Times New Roman" w:hAnsi="Times New Roman"/>
          <w:color w:val="202124"/>
          <w:sz w:val="22"/>
          <w:szCs w:val="22"/>
        </w:rPr>
      </w:pPr>
      <w:proofErr w:type="gramStart"/>
      <w:r w:rsidRPr="0045272C">
        <w:rPr>
          <w:rFonts w:ascii="Times New Roman" w:hAnsi="Times New Roman"/>
          <w:color w:val="202124"/>
          <w:sz w:val="22"/>
          <w:szCs w:val="22"/>
        </w:rPr>
        <w:t>Sebagian besar variasi GDP dijelaskan oleh shock GDP sendiri (≈82–90%), menunjukkan endogenitas pertumbuhan.</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Dampak kebijakan ada, tetapi relatif lebih kecil dibanding faktor internal pertumbuhan.</w:t>
      </w:r>
      <w:proofErr w:type="gramEnd"/>
    </w:p>
    <w:p w14:paraId="6E864EF5" w14:textId="201A6FA9" w:rsidR="00D26FA7" w:rsidRPr="0045272C" w:rsidRDefault="00D26FA7" w:rsidP="00D26FA7">
      <w:pPr>
        <w:pStyle w:val="HTMLPreformatted"/>
        <w:numPr>
          <w:ilvl w:val="0"/>
          <w:numId w:val="45"/>
        </w:numPr>
        <w:jc w:val="both"/>
        <w:rPr>
          <w:rFonts w:ascii="Times New Roman" w:hAnsi="Times New Roman"/>
          <w:color w:val="202124"/>
          <w:sz w:val="22"/>
          <w:szCs w:val="22"/>
        </w:rPr>
      </w:pPr>
      <w:r w:rsidRPr="0045272C">
        <w:rPr>
          <w:rFonts w:ascii="Times New Roman" w:hAnsi="Times New Roman"/>
          <w:color w:val="202124"/>
          <w:sz w:val="22"/>
          <w:szCs w:val="22"/>
        </w:rPr>
        <w:t>Belanja Pemerintah (GOV).</w:t>
      </w:r>
    </w:p>
    <w:p w14:paraId="1F072A73" w14:textId="62A4BA0D" w:rsidR="00D26FA7" w:rsidRPr="0045272C" w:rsidRDefault="00D26FA7" w:rsidP="00D26FA7">
      <w:pPr>
        <w:pStyle w:val="HTMLPreformatted"/>
        <w:ind w:left="720"/>
        <w:jc w:val="both"/>
        <w:rPr>
          <w:rFonts w:ascii="Times New Roman" w:hAnsi="Times New Roman"/>
          <w:color w:val="202124"/>
          <w:sz w:val="22"/>
          <w:szCs w:val="22"/>
        </w:rPr>
      </w:pPr>
      <w:proofErr w:type="gramStart"/>
      <w:r w:rsidRPr="0045272C">
        <w:rPr>
          <w:rFonts w:ascii="Times New Roman" w:hAnsi="Times New Roman"/>
          <w:color w:val="202124"/>
          <w:sz w:val="22"/>
          <w:szCs w:val="22"/>
        </w:rPr>
        <w:t>Variasi GOV didominasi oleh shock GOV sendiri (≈56–65%) dan GDP (≈23–36%).</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Ini menunjukkan belanja pemerintah bergerak mengikuti agenda fiskal dan siklus ekonomi.</w:t>
      </w:r>
      <w:proofErr w:type="gramEnd"/>
    </w:p>
    <w:p w14:paraId="6D67FC84" w14:textId="20551A86" w:rsidR="00D26FA7" w:rsidRPr="0045272C" w:rsidRDefault="00D26FA7" w:rsidP="00D26FA7">
      <w:pPr>
        <w:pStyle w:val="HTMLPreformatted"/>
        <w:numPr>
          <w:ilvl w:val="0"/>
          <w:numId w:val="45"/>
        </w:numPr>
        <w:jc w:val="both"/>
        <w:rPr>
          <w:rFonts w:ascii="Times New Roman" w:hAnsi="Times New Roman"/>
          <w:color w:val="202124"/>
          <w:sz w:val="22"/>
          <w:szCs w:val="22"/>
        </w:rPr>
      </w:pPr>
      <w:r w:rsidRPr="0045272C">
        <w:rPr>
          <w:rFonts w:ascii="Times New Roman" w:hAnsi="Times New Roman"/>
          <w:color w:val="202124"/>
          <w:sz w:val="22"/>
          <w:szCs w:val="22"/>
        </w:rPr>
        <w:t>Nilai Tukar (KURS).</w:t>
      </w:r>
    </w:p>
    <w:p w14:paraId="6592DDB7" w14:textId="067963D0" w:rsidR="00D26FA7" w:rsidRPr="0045272C" w:rsidRDefault="00D26FA7" w:rsidP="00D26FA7">
      <w:pPr>
        <w:pStyle w:val="HTMLPreformatted"/>
        <w:ind w:left="720"/>
        <w:jc w:val="both"/>
        <w:rPr>
          <w:rFonts w:ascii="Times New Roman" w:hAnsi="Times New Roman"/>
          <w:color w:val="202124"/>
          <w:sz w:val="22"/>
          <w:szCs w:val="22"/>
        </w:rPr>
      </w:pPr>
      <w:proofErr w:type="gramStart"/>
      <w:r w:rsidRPr="0045272C">
        <w:rPr>
          <w:rFonts w:ascii="Times New Roman" w:hAnsi="Times New Roman"/>
          <w:color w:val="202124"/>
          <w:sz w:val="22"/>
          <w:szCs w:val="22"/>
        </w:rPr>
        <w:t>Variasi KURS sebagian besar dijelaskan oleh shock KURS sendiri (≈34–60%), dengan kontribusi GDP dan GOV yang signifikan.</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Hal ini mencerminkan peran faktor eksternal sekaligus kondisi domestik.</w:t>
      </w:r>
      <w:proofErr w:type="gramEnd"/>
    </w:p>
    <w:p w14:paraId="32B3EDFB" w14:textId="0A47A83E" w:rsidR="00D26FA7" w:rsidRPr="0045272C" w:rsidRDefault="00D26FA7" w:rsidP="00D26FA7">
      <w:pPr>
        <w:pStyle w:val="HTMLPreformatted"/>
        <w:numPr>
          <w:ilvl w:val="0"/>
          <w:numId w:val="45"/>
        </w:numPr>
        <w:jc w:val="both"/>
        <w:rPr>
          <w:rFonts w:ascii="Times New Roman" w:hAnsi="Times New Roman"/>
          <w:color w:val="202124"/>
          <w:sz w:val="22"/>
          <w:szCs w:val="22"/>
        </w:rPr>
      </w:pPr>
      <w:r w:rsidRPr="0045272C">
        <w:rPr>
          <w:rFonts w:ascii="Times New Roman" w:hAnsi="Times New Roman"/>
          <w:color w:val="202124"/>
          <w:sz w:val="22"/>
          <w:szCs w:val="22"/>
        </w:rPr>
        <w:t>Pajak (TAX).</w:t>
      </w:r>
    </w:p>
    <w:p w14:paraId="7863D7E2" w14:textId="5EF1F96F" w:rsidR="00D26FA7" w:rsidRPr="0045272C" w:rsidRDefault="00D26FA7" w:rsidP="001B2B93">
      <w:pPr>
        <w:pStyle w:val="HTMLPreformatted"/>
        <w:ind w:left="720"/>
        <w:jc w:val="both"/>
        <w:rPr>
          <w:rFonts w:ascii="Times New Roman" w:hAnsi="Times New Roman"/>
          <w:color w:val="202124"/>
          <w:sz w:val="22"/>
          <w:szCs w:val="22"/>
        </w:rPr>
      </w:pPr>
      <w:r w:rsidRPr="0045272C">
        <w:rPr>
          <w:rFonts w:ascii="Times New Roman" w:hAnsi="Times New Roman"/>
          <w:color w:val="202124"/>
          <w:sz w:val="22"/>
          <w:szCs w:val="22"/>
        </w:rPr>
        <w:t>Variasi TAX paling besar dipengaruhi oleh GDP (≈47–60%) dan GOV (≈18–41%), menegaskan bahwa basis pajak sangat bergantung pada aktivitas ekonomi dan kebijakan fiskal, sementara peran moneter lebih kecil.</w:t>
      </w:r>
    </w:p>
    <w:p w14:paraId="36440236" w14:textId="5B5A8E94" w:rsidR="00D26FA7" w:rsidRDefault="009F453B" w:rsidP="009F453B">
      <w:pPr>
        <w:pStyle w:val="HTMLPreformatted"/>
        <w:jc w:val="both"/>
        <w:rPr>
          <w:rFonts w:ascii="Times New Roman" w:hAnsi="Times New Roman"/>
          <w:color w:val="202124"/>
          <w:sz w:val="22"/>
          <w:szCs w:val="22"/>
        </w:rPr>
      </w:pPr>
      <w:r>
        <w:object w:dxaOrig="10305" w:dyaOrig="5911" w14:anchorId="4D7585A4">
          <v:shape id="_x0000_i1027" type="#_x0000_t75" style="width:454pt;height:273pt" o:ole="">
            <v:imagedata r:id="rId20" o:title=""/>
          </v:shape>
          <o:OLEObject Type="Embed" ProgID="EViews.Workfile.2" ShapeID="_x0000_i1027" DrawAspect="Content" ObjectID="_1838384136" r:id="rId21"/>
        </w:object>
      </w:r>
    </w:p>
    <w:p w14:paraId="54D09BE9" w14:textId="1F04DDE7" w:rsidR="00D26FA7" w:rsidRPr="0072750F" w:rsidRDefault="00D26FA7" w:rsidP="0072750F">
      <w:pPr>
        <w:pStyle w:val="HTMLPreformatted"/>
        <w:rPr>
          <w:rFonts w:ascii="Times New Roman" w:hAnsi="Times New Roman"/>
          <w:b/>
          <w:sz w:val="22"/>
          <w:szCs w:val="22"/>
        </w:rPr>
      </w:pPr>
      <w:proofErr w:type="gramStart"/>
      <w:r w:rsidRPr="0072750F">
        <w:rPr>
          <w:rFonts w:ascii="Times New Roman" w:hAnsi="Times New Roman"/>
          <w:b/>
          <w:sz w:val="22"/>
          <w:szCs w:val="22"/>
        </w:rPr>
        <w:t xml:space="preserve">Gambar </w:t>
      </w:r>
      <w:r w:rsidR="0045272C" w:rsidRPr="0072750F">
        <w:rPr>
          <w:rFonts w:ascii="Times New Roman" w:hAnsi="Times New Roman"/>
          <w:b/>
          <w:sz w:val="22"/>
          <w:szCs w:val="22"/>
        </w:rPr>
        <w:t>4</w:t>
      </w:r>
      <w:r w:rsidRPr="0072750F">
        <w:rPr>
          <w:rFonts w:ascii="Times New Roman" w:hAnsi="Times New Roman"/>
          <w:b/>
          <w:sz w:val="22"/>
          <w:szCs w:val="22"/>
        </w:rPr>
        <w:t>.</w:t>
      </w:r>
      <w:proofErr w:type="gramEnd"/>
      <w:r w:rsidRPr="0072750F">
        <w:rPr>
          <w:rFonts w:ascii="Times New Roman" w:hAnsi="Times New Roman"/>
          <w:b/>
          <w:sz w:val="22"/>
          <w:szCs w:val="22"/>
        </w:rPr>
        <w:t xml:space="preserve"> Hasil dari </w:t>
      </w:r>
      <w:r w:rsidR="009F453B" w:rsidRPr="0072750F">
        <w:rPr>
          <w:rFonts w:ascii="Times New Roman" w:hAnsi="Times New Roman"/>
          <w:b/>
          <w:sz w:val="22"/>
          <w:szCs w:val="22"/>
        </w:rPr>
        <w:t>multiple</w:t>
      </w:r>
      <w:r w:rsidRPr="0072750F">
        <w:rPr>
          <w:rFonts w:ascii="Times New Roman" w:hAnsi="Times New Roman"/>
          <w:b/>
          <w:sz w:val="22"/>
          <w:szCs w:val="22"/>
        </w:rPr>
        <w:t xml:space="preserve"> Graphs (</w:t>
      </w:r>
      <w:r w:rsidR="0045272C" w:rsidRPr="0072750F">
        <w:rPr>
          <w:rFonts w:ascii="Times New Roman" w:hAnsi="Times New Roman"/>
          <w:b/>
          <w:sz w:val="22"/>
          <w:szCs w:val="22"/>
        </w:rPr>
        <w:t>Forecast Error Variance Decomposition (FEVD)</w:t>
      </w:r>
      <w:r w:rsidR="0045272C" w:rsidRPr="0072750F">
        <w:rPr>
          <w:rFonts w:ascii="Times New Roman" w:hAnsi="Times New Roman"/>
          <w:b/>
          <w:color w:val="202124"/>
          <w:sz w:val="22"/>
          <w:szCs w:val="22"/>
        </w:rPr>
        <w:t>)</w:t>
      </w:r>
    </w:p>
    <w:p w14:paraId="319D6C0F" w14:textId="77777777" w:rsidR="009F453B" w:rsidRDefault="009F453B" w:rsidP="009F453B">
      <w:pPr>
        <w:pStyle w:val="HTMLPreformatted"/>
        <w:jc w:val="both"/>
        <w:rPr>
          <w:rFonts w:ascii="Times New Roman" w:hAnsi="Times New Roman"/>
          <w:color w:val="202124"/>
          <w:sz w:val="22"/>
          <w:szCs w:val="22"/>
        </w:rPr>
      </w:pPr>
    </w:p>
    <w:p w14:paraId="1DF24DC5" w14:textId="77777777" w:rsidR="009F453B" w:rsidRPr="009F453B" w:rsidRDefault="009F453B" w:rsidP="009F453B">
      <w:pPr>
        <w:pStyle w:val="HTMLPreformatted"/>
        <w:jc w:val="both"/>
        <w:rPr>
          <w:rFonts w:ascii="Times New Roman" w:hAnsi="Times New Roman"/>
          <w:color w:val="202124"/>
          <w:sz w:val="22"/>
          <w:szCs w:val="22"/>
        </w:rPr>
      </w:pPr>
    </w:p>
    <w:p w14:paraId="6C30059E" w14:textId="357D1713" w:rsidR="009F453B" w:rsidRPr="009F453B" w:rsidRDefault="009F453B" w:rsidP="009F453B">
      <w:pPr>
        <w:pStyle w:val="HTMLPreformatted"/>
        <w:jc w:val="both"/>
        <w:rPr>
          <w:rFonts w:ascii="Times New Roman" w:hAnsi="Times New Roman"/>
          <w:sz w:val="22"/>
          <w:szCs w:val="22"/>
        </w:rPr>
      </w:pPr>
      <w:r w:rsidRPr="009F453B">
        <w:rPr>
          <w:rFonts w:ascii="Times New Roman" w:hAnsi="Times New Roman"/>
          <w:sz w:val="22"/>
          <w:szCs w:val="22"/>
        </w:rPr>
        <w:object w:dxaOrig="10185" w:dyaOrig="8656" w14:anchorId="77F4BA59">
          <v:shape id="_x0000_i1028" type="#_x0000_t75" style="width:453pt;height:385.5pt" o:ole="">
            <v:imagedata r:id="rId22" o:title=""/>
          </v:shape>
          <o:OLEObject Type="Embed" ProgID="EViews.Workfile.2" ShapeID="_x0000_i1028" DrawAspect="Content" ObjectID="_1838384137" r:id="rId23"/>
        </w:object>
      </w:r>
    </w:p>
    <w:p w14:paraId="3BCD2056" w14:textId="55C00CB3" w:rsidR="00D26FA7" w:rsidRPr="0072750F" w:rsidRDefault="00D26FA7" w:rsidP="0072750F">
      <w:pPr>
        <w:pStyle w:val="HTMLPreformatted"/>
        <w:rPr>
          <w:rFonts w:ascii="Times New Roman" w:hAnsi="Times New Roman"/>
          <w:b/>
          <w:sz w:val="22"/>
          <w:szCs w:val="22"/>
        </w:rPr>
      </w:pPr>
      <w:proofErr w:type="gramStart"/>
      <w:r w:rsidRPr="0072750F">
        <w:rPr>
          <w:rFonts w:ascii="Times New Roman" w:hAnsi="Times New Roman"/>
          <w:b/>
          <w:sz w:val="22"/>
          <w:szCs w:val="22"/>
        </w:rPr>
        <w:t xml:space="preserve">Gambar </w:t>
      </w:r>
      <w:r w:rsidR="0045272C" w:rsidRPr="0072750F">
        <w:rPr>
          <w:rFonts w:ascii="Times New Roman" w:hAnsi="Times New Roman"/>
          <w:b/>
          <w:sz w:val="22"/>
          <w:szCs w:val="22"/>
        </w:rPr>
        <w:t>5</w:t>
      </w:r>
      <w:r w:rsidRPr="0072750F">
        <w:rPr>
          <w:rFonts w:ascii="Times New Roman" w:hAnsi="Times New Roman"/>
          <w:b/>
          <w:sz w:val="22"/>
          <w:szCs w:val="22"/>
        </w:rPr>
        <w:t>.</w:t>
      </w:r>
      <w:proofErr w:type="gramEnd"/>
      <w:r w:rsidRPr="0072750F">
        <w:rPr>
          <w:rFonts w:ascii="Times New Roman" w:hAnsi="Times New Roman"/>
          <w:b/>
          <w:sz w:val="22"/>
          <w:szCs w:val="22"/>
        </w:rPr>
        <w:t xml:space="preserve"> Hasil dari Combined Graphs (</w:t>
      </w:r>
      <w:r w:rsidR="0045272C" w:rsidRPr="0072750F">
        <w:rPr>
          <w:rFonts w:ascii="Times New Roman" w:hAnsi="Times New Roman"/>
          <w:b/>
          <w:sz w:val="22"/>
          <w:szCs w:val="22"/>
        </w:rPr>
        <w:t>Forecast Error Variance Decomposition (FEVD)</w:t>
      </w:r>
      <w:r w:rsidRPr="0072750F">
        <w:rPr>
          <w:rFonts w:ascii="Times New Roman" w:hAnsi="Times New Roman"/>
          <w:b/>
          <w:sz w:val="22"/>
          <w:szCs w:val="22"/>
        </w:rPr>
        <w:t>)</w:t>
      </w:r>
    </w:p>
    <w:p w14:paraId="4DAF88DC" w14:textId="77777777" w:rsidR="009F453B" w:rsidRPr="009F453B" w:rsidRDefault="009F453B" w:rsidP="00D26FA7">
      <w:pPr>
        <w:pStyle w:val="HTMLPreformatted"/>
        <w:ind w:left="720"/>
        <w:jc w:val="both"/>
        <w:rPr>
          <w:rFonts w:ascii="Times New Roman" w:hAnsi="Times New Roman"/>
          <w:sz w:val="22"/>
          <w:szCs w:val="22"/>
        </w:rPr>
      </w:pPr>
    </w:p>
    <w:p w14:paraId="4253738C" w14:textId="77777777" w:rsidR="009F453B" w:rsidRPr="009F453B" w:rsidRDefault="009F453B" w:rsidP="00D26FA7">
      <w:pPr>
        <w:pStyle w:val="HTMLPreformatted"/>
        <w:ind w:left="720"/>
        <w:jc w:val="both"/>
        <w:rPr>
          <w:rFonts w:ascii="Times New Roman" w:hAnsi="Times New Roman"/>
          <w:sz w:val="22"/>
          <w:szCs w:val="22"/>
        </w:rPr>
      </w:pPr>
    </w:p>
    <w:p w14:paraId="15C02B10" w14:textId="396D971C" w:rsidR="009F453B" w:rsidRDefault="009F453B" w:rsidP="009F453B">
      <w:pPr>
        <w:pStyle w:val="HTMLPreformatted"/>
        <w:jc w:val="both"/>
        <w:rPr>
          <w:rFonts w:ascii="Times New Roman" w:hAnsi="Times New Roman"/>
          <w:sz w:val="22"/>
          <w:szCs w:val="22"/>
        </w:rPr>
      </w:pPr>
      <w:r>
        <w:object w:dxaOrig="10179" w:dyaOrig="8431" w14:anchorId="57A02E7E">
          <v:shape id="_x0000_i1029" type="#_x0000_t75" style="width:454pt;height:375.5pt" o:ole="">
            <v:imagedata r:id="rId24" o:title=""/>
          </v:shape>
          <o:OLEObject Type="Embed" ProgID="EViews.Workfile.2" ShapeID="_x0000_i1029" DrawAspect="Content" ObjectID="_1838384138" r:id="rId25"/>
        </w:object>
      </w:r>
    </w:p>
    <w:p w14:paraId="575950A3" w14:textId="300D423E" w:rsidR="009F453B" w:rsidRPr="0072750F" w:rsidRDefault="009F453B" w:rsidP="0072750F">
      <w:pPr>
        <w:pStyle w:val="HTMLPreformatted"/>
        <w:rPr>
          <w:rFonts w:ascii="Times New Roman" w:hAnsi="Times New Roman"/>
          <w:b/>
          <w:sz w:val="22"/>
          <w:szCs w:val="22"/>
        </w:rPr>
      </w:pPr>
      <w:proofErr w:type="gramStart"/>
      <w:r w:rsidRPr="0072750F">
        <w:rPr>
          <w:rFonts w:ascii="Times New Roman" w:hAnsi="Times New Roman"/>
          <w:b/>
          <w:sz w:val="22"/>
          <w:szCs w:val="22"/>
        </w:rPr>
        <w:t xml:space="preserve">Gambar </w:t>
      </w:r>
      <w:r w:rsidR="0045272C" w:rsidRPr="0072750F">
        <w:rPr>
          <w:rFonts w:ascii="Times New Roman" w:hAnsi="Times New Roman"/>
          <w:b/>
          <w:sz w:val="22"/>
          <w:szCs w:val="22"/>
        </w:rPr>
        <w:t>6</w:t>
      </w:r>
      <w:r w:rsidRPr="0072750F">
        <w:rPr>
          <w:rFonts w:ascii="Times New Roman" w:hAnsi="Times New Roman"/>
          <w:b/>
          <w:sz w:val="22"/>
          <w:szCs w:val="22"/>
        </w:rPr>
        <w:t>.</w:t>
      </w:r>
      <w:proofErr w:type="gramEnd"/>
      <w:r w:rsidRPr="0072750F">
        <w:rPr>
          <w:rFonts w:ascii="Times New Roman" w:hAnsi="Times New Roman"/>
          <w:b/>
          <w:sz w:val="22"/>
          <w:szCs w:val="22"/>
        </w:rPr>
        <w:t xml:space="preserve"> Hasil dari Stacked Graphs (</w:t>
      </w:r>
      <w:r w:rsidR="0045272C" w:rsidRPr="0072750F">
        <w:rPr>
          <w:rFonts w:ascii="Times New Roman" w:hAnsi="Times New Roman"/>
          <w:b/>
          <w:sz w:val="22"/>
          <w:szCs w:val="22"/>
        </w:rPr>
        <w:t>Forecast Error Variance Decomposition (FEVD)</w:t>
      </w:r>
      <w:r w:rsidRPr="0072750F">
        <w:rPr>
          <w:rFonts w:ascii="Times New Roman" w:hAnsi="Times New Roman"/>
          <w:b/>
          <w:bCs/>
          <w:color w:val="202124"/>
          <w:sz w:val="22"/>
          <w:szCs w:val="22"/>
        </w:rPr>
        <w:t>)</w:t>
      </w:r>
    </w:p>
    <w:p w14:paraId="6CDE317A" w14:textId="77777777" w:rsidR="009F453B" w:rsidRDefault="009F453B" w:rsidP="00D26FA7">
      <w:pPr>
        <w:pStyle w:val="HTMLPreformatted"/>
        <w:ind w:left="720"/>
        <w:jc w:val="both"/>
        <w:rPr>
          <w:rFonts w:ascii="Times New Roman" w:hAnsi="Times New Roman"/>
          <w:color w:val="202124"/>
          <w:sz w:val="22"/>
          <w:szCs w:val="22"/>
        </w:rPr>
      </w:pPr>
    </w:p>
    <w:p w14:paraId="4A88B4D4" w14:textId="116A2674" w:rsidR="00D26FA7" w:rsidRPr="0045272C" w:rsidRDefault="00D26FA7" w:rsidP="0072750F">
      <w:pPr>
        <w:pStyle w:val="HTMLPreformatted"/>
        <w:jc w:val="both"/>
        <w:rPr>
          <w:rFonts w:ascii="Times New Roman" w:hAnsi="Times New Roman"/>
          <w:color w:val="202124"/>
          <w:sz w:val="22"/>
          <w:szCs w:val="22"/>
        </w:rPr>
      </w:pPr>
      <w:proofErr w:type="gramStart"/>
      <w:r w:rsidRPr="00D26FA7">
        <w:rPr>
          <w:rFonts w:ascii="Times New Roman" w:hAnsi="Times New Roman"/>
          <w:color w:val="202124"/>
          <w:sz w:val="22"/>
          <w:szCs w:val="22"/>
        </w:rPr>
        <w:t xml:space="preserve">Hasil FEVD menunjukkan </w:t>
      </w:r>
      <w:r w:rsidRPr="0045272C">
        <w:rPr>
          <w:rFonts w:ascii="Times New Roman" w:hAnsi="Times New Roman"/>
          <w:color w:val="202124"/>
          <w:sz w:val="22"/>
          <w:szCs w:val="22"/>
        </w:rPr>
        <w:t>bahwa inflasi paling sensitif terhadap kebijakan moneter, sementara pertumbuhan ekonomi dan penerimaan pajak sangat dipengaruhi oleh dinamika internal ekonomi dan kebijakan fiskal.</w:t>
      </w:r>
      <w:proofErr w:type="gramEnd"/>
      <w:r w:rsidRPr="0045272C">
        <w:rPr>
          <w:rFonts w:ascii="Times New Roman" w:hAnsi="Times New Roman"/>
          <w:color w:val="202124"/>
          <w:sz w:val="22"/>
          <w:szCs w:val="22"/>
        </w:rPr>
        <w:t xml:space="preserve"> </w:t>
      </w:r>
      <w:proofErr w:type="gramStart"/>
      <w:r w:rsidRPr="0045272C">
        <w:rPr>
          <w:rFonts w:ascii="Times New Roman" w:hAnsi="Times New Roman"/>
          <w:color w:val="202124"/>
          <w:sz w:val="22"/>
          <w:szCs w:val="22"/>
        </w:rPr>
        <w:t>Temuan ini menegaskan pentingnya koordinasi kebijakan moneter–fiskal dalam menjaga stabilitas makroekonomi.</w:t>
      </w:r>
      <w:proofErr w:type="gramEnd"/>
    </w:p>
    <w:p w14:paraId="42DF6630" w14:textId="77777777" w:rsidR="00067EAA" w:rsidRDefault="00067EAA" w:rsidP="008C4CA3">
      <w:pPr>
        <w:pStyle w:val="HTMLPreformatted"/>
        <w:jc w:val="both"/>
        <w:rPr>
          <w:rFonts w:ascii="Times New Roman" w:hAnsi="Times New Roman"/>
          <w:color w:val="202124"/>
          <w:sz w:val="22"/>
          <w:szCs w:val="22"/>
        </w:rPr>
      </w:pPr>
    </w:p>
    <w:p w14:paraId="3F2746BD" w14:textId="5525875B" w:rsidR="008C4CA3" w:rsidRPr="0072750F" w:rsidRDefault="008C4CA3" w:rsidP="0072750F">
      <w:pPr>
        <w:pStyle w:val="HTMLPreformatted"/>
        <w:jc w:val="both"/>
        <w:rPr>
          <w:rFonts w:ascii="Times New Roman" w:hAnsi="Times New Roman"/>
          <w:b/>
          <w:sz w:val="22"/>
          <w:szCs w:val="22"/>
        </w:rPr>
      </w:pPr>
      <w:r w:rsidRPr="00C10CF4">
        <w:rPr>
          <w:rFonts w:ascii="Times New Roman" w:hAnsi="Times New Roman"/>
          <w:b/>
          <w:color w:val="202124"/>
          <w:sz w:val="22"/>
          <w:szCs w:val="22"/>
        </w:rPr>
        <w:t>Hasil Estimasi VAR</w:t>
      </w:r>
    </w:p>
    <w:p w14:paraId="5C78667B" w14:textId="0ABC0C79" w:rsidR="008C4CA3" w:rsidRPr="0072750F" w:rsidRDefault="008C4CA3" w:rsidP="0072750F">
      <w:pPr>
        <w:pStyle w:val="HTMLPreformatted"/>
        <w:rPr>
          <w:rFonts w:ascii="Times New Roman" w:hAnsi="Times New Roman"/>
          <w:b/>
          <w:sz w:val="22"/>
          <w:szCs w:val="22"/>
        </w:rPr>
      </w:pPr>
      <w:proofErr w:type="gramStart"/>
      <w:r w:rsidRPr="0072750F">
        <w:rPr>
          <w:rFonts w:ascii="Times New Roman" w:hAnsi="Times New Roman"/>
          <w:b/>
          <w:sz w:val="22"/>
          <w:szCs w:val="22"/>
        </w:rPr>
        <w:t>Tabel</w:t>
      </w:r>
      <w:r w:rsidR="0045272C" w:rsidRPr="0072750F">
        <w:rPr>
          <w:rFonts w:ascii="Times New Roman" w:hAnsi="Times New Roman"/>
          <w:b/>
          <w:sz w:val="22"/>
          <w:szCs w:val="22"/>
        </w:rPr>
        <w:t xml:space="preserve"> 7.</w:t>
      </w:r>
      <w:proofErr w:type="gramEnd"/>
      <w:r w:rsidR="0072750F" w:rsidRPr="0072750F">
        <w:rPr>
          <w:rFonts w:ascii="Times New Roman" w:hAnsi="Times New Roman"/>
          <w:b/>
          <w:sz w:val="22"/>
          <w:szCs w:val="22"/>
        </w:rPr>
        <w:t xml:space="preserve"> </w:t>
      </w:r>
      <w:r w:rsidRPr="0072750F">
        <w:rPr>
          <w:rFonts w:ascii="Times New Roman" w:hAnsi="Times New Roman"/>
          <w:b/>
          <w:sz w:val="22"/>
          <w:szCs w:val="22"/>
        </w:rPr>
        <w:t>Ringkasan Estimasi VAR (Makna Koefisien)</w:t>
      </w:r>
    </w:p>
    <w:tbl>
      <w:tblPr>
        <w:tblStyle w:val="PlainTable21"/>
        <w:tblW w:w="0" w:type="auto"/>
        <w:tblBorders>
          <w:top w:val="none" w:sz="0" w:space="0" w:color="auto"/>
          <w:bottom w:val="none" w:sz="0" w:space="0" w:color="auto"/>
        </w:tblBorders>
        <w:tblLook w:val="04A0" w:firstRow="1" w:lastRow="0" w:firstColumn="1" w:lastColumn="0" w:noHBand="0" w:noVBand="1"/>
      </w:tblPr>
      <w:tblGrid>
        <w:gridCol w:w="2152"/>
        <w:gridCol w:w="7136"/>
      </w:tblGrid>
      <w:tr w:rsidR="008C4CA3" w:rsidRPr="008C4CA3" w14:paraId="6877D94C" w14:textId="77777777" w:rsidTr="00706D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double" w:sz="4" w:space="0" w:color="auto"/>
            </w:tcBorders>
            <w:hideMark/>
          </w:tcPr>
          <w:p w14:paraId="6A0AEC4A" w14:textId="77777777" w:rsidR="008C4CA3" w:rsidRPr="008C4CA3" w:rsidRDefault="008C4CA3" w:rsidP="008C4CA3">
            <w:pPr>
              <w:pStyle w:val="HTMLPreformatted"/>
              <w:ind w:left="360"/>
              <w:jc w:val="center"/>
              <w:rPr>
                <w:rFonts w:ascii="Times New Roman" w:hAnsi="Times New Roman"/>
                <w:sz w:val="22"/>
                <w:szCs w:val="22"/>
              </w:rPr>
            </w:pPr>
            <w:r w:rsidRPr="008C4CA3">
              <w:rPr>
                <w:rFonts w:ascii="Times New Roman" w:hAnsi="Times New Roman"/>
                <w:sz w:val="22"/>
                <w:szCs w:val="22"/>
              </w:rPr>
              <w:t>Variabel Dependen</w:t>
            </w:r>
          </w:p>
        </w:tc>
        <w:tc>
          <w:tcPr>
            <w:tcW w:w="0" w:type="auto"/>
            <w:tcBorders>
              <w:top w:val="double" w:sz="4" w:space="0" w:color="auto"/>
              <w:bottom w:val="double" w:sz="4" w:space="0" w:color="auto"/>
            </w:tcBorders>
            <w:hideMark/>
          </w:tcPr>
          <w:p w14:paraId="4017B497" w14:textId="77777777" w:rsidR="008C4CA3" w:rsidRPr="008C4CA3" w:rsidRDefault="008C4CA3" w:rsidP="008C4CA3">
            <w:pPr>
              <w:pStyle w:val="HTMLPreformatted"/>
              <w:ind w:left="3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8C4CA3">
              <w:rPr>
                <w:rFonts w:ascii="Times New Roman" w:hAnsi="Times New Roman"/>
                <w:sz w:val="22"/>
                <w:szCs w:val="22"/>
              </w:rPr>
              <w:t>Temuan Utama Estimasi</w:t>
            </w:r>
          </w:p>
        </w:tc>
      </w:tr>
      <w:tr w:rsidR="008C4CA3" w:rsidRPr="008C4CA3" w14:paraId="7DBF1679" w14:textId="77777777" w:rsidTr="00706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auto"/>
              <w:bottom w:val="none" w:sz="0" w:space="0" w:color="auto"/>
            </w:tcBorders>
            <w:hideMark/>
          </w:tcPr>
          <w:p w14:paraId="58D82DA5" w14:textId="77777777" w:rsidR="008C4CA3" w:rsidRPr="008C4CA3" w:rsidRDefault="008C4CA3" w:rsidP="008C4CA3">
            <w:pPr>
              <w:pStyle w:val="HTMLPreformatted"/>
              <w:ind w:left="360"/>
              <w:jc w:val="both"/>
              <w:rPr>
                <w:rFonts w:ascii="Times New Roman" w:hAnsi="Times New Roman"/>
                <w:sz w:val="22"/>
                <w:szCs w:val="22"/>
              </w:rPr>
            </w:pPr>
            <w:r w:rsidRPr="008C4CA3">
              <w:rPr>
                <w:rFonts w:ascii="Times New Roman" w:hAnsi="Times New Roman"/>
                <w:sz w:val="22"/>
                <w:szCs w:val="22"/>
              </w:rPr>
              <w:t>Inflasi (INF)</w:t>
            </w:r>
          </w:p>
        </w:tc>
        <w:tc>
          <w:tcPr>
            <w:tcW w:w="0" w:type="auto"/>
            <w:tcBorders>
              <w:top w:val="double" w:sz="4" w:space="0" w:color="auto"/>
              <w:bottom w:val="none" w:sz="0" w:space="0" w:color="auto"/>
            </w:tcBorders>
            <w:hideMark/>
          </w:tcPr>
          <w:p w14:paraId="78D8101B" w14:textId="7238485E" w:rsidR="008C4CA3"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7294D">
              <w:rPr>
                <w:rFonts w:ascii="Times New Roman" w:hAnsi="Times New Roman"/>
                <w:sz w:val="22"/>
                <w:szCs w:val="22"/>
              </w:rPr>
              <w:t>Hasil estimasi menunjukkan bahwa inflasi dipengaruhi secara signifikan oleh lag BI Rate, belanja pemerintah, pajak, dan nilai tukar. Temuan ini mengindikasikan bahwa tekanan inflasi di Indonesia tidak hanya bersumber dari sisi moneter, tetapi juga dari sisi fiskal dan eksternal.</w:t>
            </w:r>
            <w:r>
              <w:rPr>
                <w:rFonts w:ascii="Times New Roman" w:hAnsi="Times New Roman"/>
                <w:sz w:val="22"/>
                <w:szCs w:val="22"/>
              </w:rPr>
              <w:t xml:space="preserve"> </w:t>
            </w:r>
            <w:r w:rsidRPr="00E7294D">
              <w:rPr>
                <w:rFonts w:ascii="Times New Roman" w:hAnsi="Times New Roman"/>
                <w:sz w:val="22"/>
                <w:szCs w:val="22"/>
              </w:rPr>
              <w:t xml:space="preserve">Pengaruh signifikan BI Rate terhadap inflasi mengonfirmasi efektivitas mekanisme transmisi kebijakan moneter melalui jalur suku bunga. Kenaikan BI Rate cenderung menekan inflasi melalui kontraksi permintaan agregat. Hasil ini sejalan dengan penelitian </w:t>
            </w:r>
            <w:sdt>
              <w:sdtPr>
                <w:rPr>
                  <w:rFonts w:ascii="Times New Roman" w:hAnsi="Times New Roman"/>
                  <w:color w:val="000000"/>
                  <w:sz w:val="22"/>
                  <w:szCs w:val="22"/>
                </w:rPr>
                <w:tag w:val="MENDELEY_CITATION_v3_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"/>
                <w:id w:val="982117902"/>
                <w:placeholder>
                  <w:docPart w:val="DefaultPlaceholder_-1854013440"/>
                </w:placeholder>
              </w:sdtPr>
              <w:sdtContent>
                <w:r w:rsidR="00B00617" w:rsidRPr="00B00617">
                  <w:rPr>
                    <w:rFonts w:ascii="Times New Roman" w:hAnsi="Times New Roman"/>
                    <w:color w:val="000000"/>
                    <w:sz w:val="22"/>
                    <w:szCs w:val="22"/>
                  </w:rPr>
                  <w:t>(Clarida et al., 1999)</w:t>
                </w:r>
              </w:sdtContent>
            </w:sdt>
            <w:r w:rsidRPr="00E7294D">
              <w:rPr>
                <w:rFonts w:ascii="Times New Roman" w:hAnsi="Times New Roman"/>
                <w:sz w:val="22"/>
                <w:szCs w:val="22"/>
              </w:rPr>
              <w:t xml:space="preserve"> serta </w:t>
            </w:r>
            <w:sdt>
              <w:sdtPr>
                <w:rPr>
                  <w:rFonts w:ascii="Times New Roman" w:hAnsi="Times New Roman"/>
                  <w:color w:val="000000"/>
                  <w:sz w:val="22"/>
                  <w:szCs w:val="22"/>
                </w:rPr>
                <w:tag w:val="MENDELEY_CITATION_v3_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"/>
                <w:id w:val="774749643"/>
                <w:placeholder>
                  <w:docPart w:val="DefaultPlaceholder_-1854013440"/>
                </w:placeholder>
              </w:sdtPr>
              <w:sdtContent>
                <w:r w:rsidR="00B00617" w:rsidRPr="00B00617">
                  <w:rPr>
                    <w:rFonts w:ascii="Times New Roman" w:hAnsi="Times New Roman"/>
                    <w:color w:val="000000"/>
                    <w:sz w:val="22"/>
                    <w:szCs w:val="22"/>
                  </w:rPr>
                  <w:t>(Mishkin, 2011)</w:t>
                </w:r>
              </w:sdtContent>
            </w:sdt>
            <w:r w:rsidRPr="00E7294D">
              <w:rPr>
                <w:rFonts w:ascii="Times New Roman" w:hAnsi="Times New Roman"/>
                <w:sz w:val="22"/>
                <w:szCs w:val="22"/>
              </w:rPr>
              <w:t xml:space="preserve"> yang menegaskan peran suku bunga kebijakan dalam pengendalian inflasi di negara berkembang.</w:t>
            </w:r>
            <w:r>
              <w:rPr>
                <w:rFonts w:ascii="Times New Roman" w:hAnsi="Times New Roman"/>
                <w:sz w:val="22"/>
                <w:szCs w:val="22"/>
              </w:rPr>
              <w:t xml:space="preserve"> </w:t>
            </w:r>
            <w:r w:rsidRPr="00E7294D">
              <w:rPr>
                <w:rFonts w:ascii="Times New Roman" w:hAnsi="Times New Roman"/>
                <w:sz w:val="22"/>
                <w:szCs w:val="22"/>
              </w:rPr>
              <w:t xml:space="preserve">Di sisi </w:t>
            </w:r>
            <w:proofErr w:type="gramStart"/>
            <w:r w:rsidRPr="00E7294D">
              <w:rPr>
                <w:rFonts w:ascii="Times New Roman" w:hAnsi="Times New Roman"/>
                <w:sz w:val="22"/>
                <w:szCs w:val="22"/>
              </w:rPr>
              <w:t>lain</w:t>
            </w:r>
            <w:proofErr w:type="gramEnd"/>
            <w:r w:rsidRPr="00E7294D">
              <w:rPr>
                <w:rFonts w:ascii="Times New Roman" w:hAnsi="Times New Roman"/>
                <w:sz w:val="22"/>
                <w:szCs w:val="22"/>
              </w:rPr>
              <w:t xml:space="preserve">, pengaruh belanja pemerintah dan pajak menunjukkan adanya tekanan inflasi dari sisi permintaan (demand-pull inflation). Temuan ini konsisten dengan studi </w:t>
            </w:r>
            <w:sdt>
              <w:sdtPr>
                <w:rPr>
                  <w:rFonts w:ascii="Times New Roman" w:hAnsi="Times New Roman"/>
                  <w:color w:val="000000"/>
                  <w:sz w:val="22"/>
                  <w:szCs w:val="22"/>
                </w:rPr>
                <w:tag w:val="MENDELEY_CITATION_v3_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"/>
                <w:id w:val="1306967498"/>
                <w:placeholder>
                  <w:docPart w:val="DefaultPlaceholder_-1854013440"/>
                </w:placeholder>
              </w:sdtPr>
              <w:sdtContent>
                <w:r w:rsidR="00B00617" w:rsidRPr="00B00617">
                  <w:rPr>
                    <w:rFonts w:ascii="Times New Roman" w:hAnsi="Times New Roman"/>
                    <w:color w:val="000000"/>
                    <w:sz w:val="22"/>
                  </w:rPr>
                  <w:t>(Blanchard &amp; Perotti, 2002)</w:t>
                </w:r>
              </w:sdtContent>
            </w:sdt>
            <w:r w:rsidRPr="00E7294D">
              <w:rPr>
                <w:rFonts w:ascii="Times New Roman" w:hAnsi="Times New Roman"/>
                <w:sz w:val="22"/>
                <w:szCs w:val="22"/>
              </w:rPr>
              <w:t xml:space="preserve"> yang menemukan bahwa </w:t>
            </w:r>
            <w:r w:rsidRPr="00E7294D">
              <w:rPr>
                <w:rFonts w:ascii="Times New Roman" w:hAnsi="Times New Roman"/>
                <w:sz w:val="22"/>
                <w:szCs w:val="22"/>
              </w:rPr>
              <w:lastRenderedPageBreak/>
              <w:t>ekspansi fiskal dapat meningkatkan tekanan harga dalam jangka pendek.</w:t>
            </w:r>
            <w:r>
              <w:rPr>
                <w:rFonts w:ascii="Times New Roman" w:hAnsi="Times New Roman"/>
                <w:sz w:val="22"/>
                <w:szCs w:val="22"/>
              </w:rPr>
              <w:t xml:space="preserve"> </w:t>
            </w:r>
            <w:r w:rsidRPr="00E7294D">
              <w:rPr>
                <w:rFonts w:ascii="Times New Roman" w:hAnsi="Times New Roman"/>
                <w:sz w:val="22"/>
                <w:szCs w:val="22"/>
              </w:rPr>
              <w:t xml:space="preserve">Pengaruh nilai tukar terhadap inflasi juga signifikan, mencerminkan adanya exchange rate pass-through. Hal ini sejalan dengan penelitian </w:t>
            </w:r>
            <w:sdt>
              <w:sdtPr>
                <w:rPr>
                  <w:rFonts w:ascii="Times New Roman" w:hAnsi="Times New Roman"/>
                  <w:color w:val="000000"/>
                  <w:sz w:val="22"/>
                  <w:szCs w:val="22"/>
                </w:rPr>
                <w:tag w:val="MENDELEY_CITATION_v3_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"/>
                <w:id w:val="-1355338076"/>
                <w:placeholder>
                  <w:docPart w:val="DefaultPlaceholder_-1854013440"/>
                </w:placeholder>
              </w:sdtPr>
              <w:sdtContent>
                <w:r w:rsidR="00B00617" w:rsidRPr="00B00617">
                  <w:rPr>
                    <w:rFonts w:ascii="Times New Roman" w:hAnsi="Times New Roman"/>
                    <w:color w:val="000000"/>
                    <w:sz w:val="22"/>
                  </w:rPr>
                  <w:t>(Ito &amp; Sato, 2008)</w:t>
                </w:r>
              </w:sdtContent>
            </w:sdt>
            <w:r w:rsidRPr="00E7294D">
              <w:rPr>
                <w:rFonts w:ascii="Times New Roman" w:hAnsi="Times New Roman"/>
                <w:sz w:val="22"/>
                <w:szCs w:val="22"/>
              </w:rPr>
              <w:t xml:space="preserve"> yang menunjukkan bahwa negara emerging market memiliki tingkat pass-through yang relatif tinggi akibat ketergantungan pada impor bahan baku dan energi.</w:t>
            </w:r>
          </w:p>
          <w:p w14:paraId="1567B24A" w14:textId="77777777" w:rsidR="00E7294D"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785C0880" w14:textId="60B7779B" w:rsidR="00E7294D" w:rsidRPr="008C4CA3"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r>
      <w:tr w:rsidR="008C4CA3" w:rsidRPr="008C4CA3" w14:paraId="311F3C61" w14:textId="77777777" w:rsidTr="00706DE7">
        <w:tc>
          <w:tcPr>
            <w:cnfStyle w:val="001000000000" w:firstRow="0" w:lastRow="0" w:firstColumn="1" w:lastColumn="0" w:oddVBand="0" w:evenVBand="0" w:oddHBand="0" w:evenHBand="0" w:firstRowFirstColumn="0" w:firstRowLastColumn="0" w:lastRowFirstColumn="0" w:lastRowLastColumn="0"/>
            <w:tcW w:w="0" w:type="auto"/>
            <w:hideMark/>
          </w:tcPr>
          <w:p w14:paraId="26CE2974" w14:textId="77777777" w:rsidR="008C4CA3" w:rsidRPr="008C4CA3" w:rsidRDefault="008C4CA3" w:rsidP="008C4CA3">
            <w:pPr>
              <w:pStyle w:val="HTMLPreformatted"/>
              <w:ind w:left="360"/>
              <w:jc w:val="both"/>
              <w:rPr>
                <w:rFonts w:ascii="Times New Roman" w:hAnsi="Times New Roman"/>
                <w:sz w:val="22"/>
                <w:szCs w:val="22"/>
              </w:rPr>
            </w:pPr>
            <w:r w:rsidRPr="008C4CA3">
              <w:rPr>
                <w:rFonts w:ascii="Times New Roman" w:hAnsi="Times New Roman"/>
                <w:sz w:val="22"/>
                <w:szCs w:val="22"/>
              </w:rPr>
              <w:lastRenderedPageBreak/>
              <w:t>Pengangguran (EMP)</w:t>
            </w:r>
          </w:p>
        </w:tc>
        <w:tc>
          <w:tcPr>
            <w:tcW w:w="0" w:type="auto"/>
            <w:hideMark/>
          </w:tcPr>
          <w:p w14:paraId="446271A2" w14:textId="4395C4CC" w:rsidR="00E7294D" w:rsidRDefault="00E7294D" w:rsidP="00E7294D">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7294D">
              <w:rPr>
                <w:rFonts w:ascii="Times New Roman" w:hAnsi="Times New Roman"/>
                <w:sz w:val="22"/>
                <w:szCs w:val="22"/>
              </w:rPr>
              <w:t xml:space="preserve">Pengangguran dipengaruhi oleh inflasi masa lalu, BI Rate, dan pertumbuhan GDP. Hubungan antara inflasi dan pengangguran mengindikasikan adanya trade-off jangka pendek sebagaimana dijelaskan dalam Kurva Phillips. Temuan ini mendukung teori </w:t>
            </w:r>
            <w:sdt>
              <w:sdtPr>
                <w:rPr>
                  <w:rFonts w:ascii="Times New Roman" w:hAnsi="Times New Roman"/>
                  <w:color w:val="000000"/>
                  <w:sz w:val="22"/>
                  <w:szCs w:val="22"/>
                </w:rPr>
                <w:tag w:val="MENDELEY_CITATION_v3_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"/>
                <w:id w:val="-1259831479"/>
                <w:placeholder>
                  <w:docPart w:val="DefaultPlaceholder_-1854013440"/>
                </w:placeholder>
              </w:sdtPr>
              <w:sdtContent>
                <w:r w:rsidR="00B00617" w:rsidRPr="00B00617">
                  <w:rPr>
                    <w:rFonts w:ascii="Times New Roman" w:hAnsi="Times New Roman"/>
                    <w:color w:val="000000"/>
                    <w:sz w:val="22"/>
                    <w:szCs w:val="22"/>
                  </w:rPr>
                  <w:t>(Phillips, 1958)</w:t>
                </w:r>
              </w:sdtContent>
            </w:sdt>
            <w:r w:rsidRPr="00E7294D">
              <w:rPr>
                <w:rFonts w:ascii="Times New Roman" w:hAnsi="Times New Roman"/>
                <w:sz w:val="22"/>
                <w:szCs w:val="22"/>
              </w:rPr>
              <w:t xml:space="preserve"> dan penelitian lanjutan oleh </w:t>
            </w:r>
            <w:sdt>
              <w:sdtPr>
                <w:rPr>
                  <w:rFonts w:ascii="Times New Roman" w:hAnsi="Times New Roman"/>
                  <w:color w:val="000000"/>
                  <w:sz w:val="22"/>
                  <w:szCs w:val="22"/>
                </w:rPr>
                <w:tag w:val="MENDELEY_CITATION_v3_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"/>
                <w:id w:val="-1683657178"/>
                <w:placeholder>
                  <w:docPart w:val="DefaultPlaceholder_-1854013440"/>
                </w:placeholder>
              </w:sdtPr>
              <w:sdtContent>
                <w:r w:rsidR="00B00617" w:rsidRPr="00B00617">
                  <w:rPr>
                    <w:rFonts w:ascii="Times New Roman" w:hAnsi="Times New Roman"/>
                    <w:color w:val="000000"/>
                    <w:sz w:val="22"/>
                    <w:szCs w:val="22"/>
                  </w:rPr>
                  <w:t>(Samuelson, 1960)</w:t>
                </w:r>
              </w:sdtContent>
            </w:sdt>
            <w:r w:rsidRPr="00E7294D">
              <w:rPr>
                <w:rFonts w:ascii="Times New Roman" w:hAnsi="Times New Roman"/>
                <w:sz w:val="22"/>
                <w:szCs w:val="22"/>
              </w:rPr>
              <w:t>.</w:t>
            </w:r>
            <w:r>
              <w:rPr>
                <w:rFonts w:ascii="Times New Roman" w:hAnsi="Times New Roman"/>
                <w:sz w:val="22"/>
                <w:szCs w:val="22"/>
              </w:rPr>
              <w:t xml:space="preserve"> </w:t>
            </w:r>
            <w:r w:rsidRPr="00E7294D">
              <w:rPr>
                <w:rFonts w:ascii="Times New Roman" w:hAnsi="Times New Roman"/>
                <w:sz w:val="22"/>
                <w:szCs w:val="22"/>
              </w:rPr>
              <w:t>Pengaruh BI Rate terhadap pengangguran menunjukkan bahwa kebijakan moneter kontraktif berpotensi meningkatkan pengangguran melalui perlambatan aktivitas ekonomi. Hal ini konsisten dengan model New Keynesian yang menekankan rigiditas harga dan dampak kebijakan moneter terhadap output gap.</w:t>
            </w:r>
            <w:r>
              <w:rPr>
                <w:rFonts w:ascii="Times New Roman" w:hAnsi="Times New Roman"/>
                <w:sz w:val="22"/>
                <w:szCs w:val="22"/>
              </w:rPr>
              <w:t xml:space="preserve"> </w:t>
            </w:r>
            <w:r w:rsidRPr="00E7294D">
              <w:rPr>
                <w:rFonts w:ascii="Times New Roman" w:hAnsi="Times New Roman"/>
                <w:sz w:val="22"/>
                <w:szCs w:val="22"/>
              </w:rPr>
              <w:t>Sementara itu, pertumbuhan GDP yang berpengaruh terhadap pengangguran mengonfirmasi Hukum Okun (Okun’s Law), yaitu adanya hubungan negatif antara pertumbuhan ekonomi dan tingkat pengangguran.</w:t>
            </w:r>
          </w:p>
          <w:p w14:paraId="5076EA50" w14:textId="77777777" w:rsidR="00E7294D" w:rsidRPr="00E7294D" w:rsidRDefault="00E7294D" w:rsidP="00E7294D">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p w14:paraId="4E19069B" w14:textId="0FAE1D0F" w:rsidR="008C4CA3" w:rsidRPr="008C4CA3" w:rsidRDefault="008C4CA3" w:rsidP="008C4CA3">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8C4CA3" w:rsidRPr="008C4CA3" w14:paraId="06D516BC" w14:textId="77777777" w:rsidTr="00706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165C2770" w14:textId="77777777" w:rsidR="008C4CA3" w:rsidRPr="008C4CA3" w:rsidRDefault="008C4CA3" w:rsidP="008C4CA3">
            <w:pPr>
              <w:pStyle w:val="HTMLPreformatted"/>
              <w:ind w:left="360"/>
              <w:jc w:val="both"/>
              <w:rPr>
                <w:rFonts w:ascii="Times New Roman" w:hAnsi="Times New Roman"/>
                <w:sz w:val="22"/>
                <w:szCs w:val="22"/>
              </w:rPr>
            </w:pPr>
            <w:r w:rsidRPr="008C4CA3">
              <w:rPr>
                <w:rFonts w:ascii="Times New Roman" w:hAnsi="Times New Roman"/>
                <w:sz w:val="22"/>
                <w:szCs w:val="22"/>
              </w:rPr>
              <w:t>BI Rate</w:t>
            </w:r>
          </w:p>
        </w:tc>
        <w:tc>
          <w:tcPr>
            <w:tcW w:w="0" w:type="auto"/>
            <w:tcBorders>
              <w:top w:val="none" w:sz="0" w:space="0" w:color="auto"/>
              <w:bottom w:val="none" w:sz="0" w:space="0" w:color="auto"/>
            </w:tcBorders>
            <w:hideMark/>
          </w:tcPr>
          <w:p w14:paraId="1C219AC1" w14:textId="3F7A919F" w:rsidR="008C4CA3"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7294D">
              <w:rPr>
                <w:rFonts w:ascii="Times New Roman" w:hAnsi="Times New Roman"/>
                <w:sz w:val="22"/>
                <w:szCs w:val="22"/>
              </w:rPr>
              <w:t>BI Rate lebih dominan dipengaruhi oleh lag-nya sendiri, yang menunjukkan adanya inertial policy behavior atau interest rate smoothing. Bank sentral cenderung menyesuaikan suku bunga secara bertahap untuk menjaga stabilitas dan kredibilitas kebijakan.</w:t>
            </w:r>
            <w:r>
              <w:rPr>
                <w:rFonts w:ascii="Times New Roman" w:hAnsi="Times New Roman"/>
                <w:sz w:val="22"/>
                <w:szCs w:val="22"/>
              </w:rPr>
              <w:t xml:space="preserve"> </w:t>
            </w:r>
            <w:r w:rsidRPr="00E7294D">
              <w:rPr>
                <w:rFonts w:ascii="Times New Roman" w:hAnsi="Times New Roman"/>
                <w:sz w:val="22"/>
                <w:szCs w:val="22"/>
              </w:rPr>
              <w:t xml:space="preserve">Temuan ini konsisten dengan Taylor Rule </w:t>
            </w:r>
            <w:sdt>
              <w:sdtPr>
                <w:rPr>
                  <w:rFonts w:ascii="Times New Roman" w:hAnsi="Times New Roman"/>
                  <w:color w:val="000000"/>
                  <w:sz w:val="22"/>
                  <w:szCs w:val="22"/>
                </w:rPr>
                <w:tag w:val="MENDELEY_CITATION_v3_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"/>
                <w:id w:val="-480778691"/>
                <w:placeholder>
                  <w:docPart w:val="DefaultPlaceholder_-1854013440"/>
                </w:placeholder>
              </w:sdtPr>
              <w:sdtContent>
                <w:r w:rsidR="00B00617" w:rsidRPr="00B00617">
                  <w:rPr>
                    <w:rFonts w:ascii="Times New Roman" w:hAnsi="Times New Roman"/>
                    <w:color w:val="000000"/>
                    <w:sz w:val="22"/>
                    <w:szCs w:val="22"/>
                  </w:rPr>
                  <w:t>(Taylor, 1993)</w:t>
                </w:r>
              </w:sdtContent>
            </w:sdt>
            <w:r w:rsidRPr="00E7294D">
              <w:rPr>
                <w:rFonts w:ascii="Times New Roman" w:hAnsi="Times New Roman"/>
                <w:sz w:val="22"/>
                <w:szCs w:val="22"/>
              </w:rPr>
              <w:t xml:space="preserve"> dan penelitian </w:t>
            </w:r>
            <w:sdt>
              <w:sdtPr>
                <w:rPr>
                  <w:rFonts w:ascii="Times New Roman" w:hAnsi="Times New Roman"/>
                  <w:color w:val="000000"/>
                  <w:sz w:val="22"/>
                  <w:szCs w:val="22"/>
                </w:rPr>
                <w:tag w:val="MENDELEY_CITATION_v3_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"/>
                <w:id w:val="-673651354"/>
                <w:placeholder>
                  <w:docPart w:val="DefaultPlaceholder_-1854013440"/>
                </w:placeholder>
              </w:sdtPr>
              <w:sdtContent>
                <w:r w:rsidR="00B00617" w:rsidRPr="00B00617">
                  <w:rPr>
                    <w:rFonts w:ascii="Times New Roman" w:hAnsi="Times New Roman"/>
                    <w:color w:val="000000"/>
                    <w:sz w:val="22"/>
                    <w:szCs w:val="22"/>
                  </w:rPr>
                  <w:t>(Woodford, 2009)</w:t>
                </w:r>
              </w:sdtContent>
            </w:sdt>
            <w:r w:rsidRPr="00E7294D">
              <w:rPr>
                <w:rFonts w:ascii="Times New Roman" w:hAnsi="Times New Roman"/>
                <w:sz w:val="22"/>
                <w:szCs w:val="22"/>
              </w:rPr>
              <w:t xml:space="preserve"> yang menunjukkan bahwa bank sentral tidak merespons secara drastis terhadap shock, melainkan melakukan penyesuaian gradual.</w:t>
            </w:r>
            <w:r>
              <w:rPr>
                <w:rFonts w:ascii="Times New Roman" w:hAnsi="Times New Roman"/>
                <w:sz w:val="22"/>
                <w:szCs w:val="22"/>
              </w:rPr>
              <w:t xml:space="preserve"> </w:t>
            </w:r>
            <w:r w:rsidRPr="00E7294D">
              <w:rPr>
                <w:rFonts w:ascii="Times New Roman" w:hAnsi="Times New Roman"/>
                <w:sz w:val="22"/>
                <w:szCs w:val="22"/>
              </w:rPr>
              <w:t>Dominasi pengaruh lag sendiri juga mengindikasikan bahwa kebijakan moneter relatif eksogen dalam sistem, meskipun tetap merespons dinamika makroekonomi.</w:t>
            </w:r>
          </w:p>
          <w:p w14:paraId="49790C5C" w14:textId="77777777" w:rsidR="00E7294D"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6861B120" w14:textId="0E3BD730" w:rsidR="00E7294D" w:rsidRPr="008C4CA3"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r>
      <w:tr w:rsidR="008C4CA3" w:rsidRPr="008C4CA3" w14:paraId="7E1F920F" w14:textId="77777777" w:rsidTr="00706DE7">
        <w:tc>
          <w:tcPr>
            <w:cnfStyle w:val="001000000000" w:firstRow="0" w:lastRow="0" w:firstColumn="1" w:lastColumn="0" w:oddVBand="0" w:evenVBand="0" w:oddHBand="0" w:evenHBand="0" w:firstRowFirstColumn="0" w:firstRowLastColumn="0" w:lastRowFirstColumn="0" w:lastRowLastColumn="0"/>
            <w:tcW w:w="0" w:type="auto"/>
            <w:hideMark/>
          </w:tcPr>
          <w:p w14:paraId="37D5D24F" w14:textId="77777777" w:rsidR="008C4CA3" w:rsidRPr="008C4CA3" w:rsidRDefault="008C4CA3" w:rsidP="008C4CA3">
            <w:pPr>
              <w:pStyle w:val="HTMLPreformatted"/>
              <w:ind w:left="360"/>
              <w:jc w:val="both"/>
              <w:rPr>
                <w:rFonts w:ascii="Times New Roman" w:hAnsi="Times New Roman"/>
                <w:sz w:val="22"/>
                <w:szCs w:val="22"/>
              </w:rPr>
            </w:pPr>
            <w:r w:rsidRPr="008C4CA3">
              <w:rPr>
                <w:rFonts w:ascii="Times New Roman" w:hAnsi="Times New Roman"/>
                <w:sz w:val="22"/>
                <w:szCs w:val="22"/>
              </w:rPr>
              <w:t>GDP</w:t>
            </w:r>
          </w:p>
        </w:tc>
        <w:tc>
          <w:tcPr>
            <w:tcW w:w="0" w:type="auto"/>
            <w:hideMark/>
          </w:tcPr>
          <w:p w14:paraId="6BAE2A0F" w14:textId="733B6EBC" w:rsidR="008C4CA3" w:rsidRDefault="00E7294D" w:rsidP="008C4CA3">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7294D">
              <w:rPr>
                <w:rFonts w:ascii="Times New Roman" w:hAnsi="Times New Roman"/>
                <w:sz w:val="22"/>
                <w:szCs w:val="22"/>
              </w:rPr>
              <w:t>GDP dipengaruhi secara signifikan oleh GDP masa lalu dan belanja pemerintah. Pengaruh lag GDP menunjukkan adanya persistensi pertumbuhan (growth persistence), sedangkan pengaruh belanja pemerintah mengindikasikan adanya multiplier effect fiskal.</w:t>
            </w:r>
            <w:r>
              <w:rPr>
                <w:rFonts w:ascii="Times New Roman" w:hAnsi="Times New Roman"/>
                <w:sz w:val="22"/>
                <w:szCs w:val="22"/>
              </w:rPr>
              <w:t xml:space="preserve"> </w:t>
            </w:r>
            <w:r w:rsidRPr="00E7294D">
              <w:rPr>
                <w:rFonts w:ascii="Times New Roman" w:hAnsi="Times New Roman"/>
                <w:sz w:val="22"/>
                <w:szCs w:val="22"/>
              </w:rPr>
              <w:t xml:space="preserve">Temuan ini sejalan dengan teori Keynesian serta penelitian </w:t>
            </w:r>
            <w:sdt>
              <w:sdtPr>
                <w:rPr>
                  <w:rFonts w:ascii="Times New Roman" w:hAnsi="Times New Roman"/>
                  <w:color w:val="000000"/>
                  <w:sz w:val="22"/>
                  <w:szCs w:val="22"/>
                </w:rPr>
                <w:tag w:val="MENDELEY_CITATION_v3_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"/>
                <w:id w:val="-174259937"/>
                <w:placeholder>
                  <w:docPart w:val="DefaultPlaceholder_-1854013440"/>
                </w:placeholder>
              </w:sdtPr>
              <w:sdtContent>
                <w:r w:rsidR="00B00617" w:rsidRPr="00B00617">
                  <w:rPr>
                    <w:rFonts w:ascii="Times New Roman" w:hAnsi="Times New Roman"/>
                    <w:color w:val="000000"/>
                    <w:sz w:val="22"/>
                    <w:szCs w:val="22"/>
                  </w:rPr>
                  <w:t>(Ramey, 2011)</w:t>
                </w:r>
              </w:sdtContent>
            </w:sdt>
            <w:r w:rsidRPr="00E7294D">
              <w:rPr>
                <w:rFonts w:ascii="Times New Roman" w:hAnsi="Times New Roman"/>
                <w:sz w:val="22"/>
                <w:szCs w:val="22"/>
              </w:rPr>
              <w:t xml:space="preserve"> yang menunjukkan bahwa belanja pemerintah memiliki dampak positif terhadap output, terutama dalam jangka pendek.</w:t>
            </w:r>
          </w:p>
          <w:p w14:paraId="705121E3" w14:textId="77777777" w:rsidR="00E7294D" w:rsidRDefault="00E7294D" w:rsidP="008C4CA3">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p w14:paraId="20F1FA64" w14:textId="4ECFDE17" w:rsidR="00E7294D" w:rsidRPr="008C4CA3" w:rsidRDefault="00E7294D" w:rsidP="008C4CA3">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8C4CA3" w:rsidRPr="008C4CA3" w14:paraId="5AB0907E" w14:textId="77777777" w:rsidTr="00706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1C335172" w14:textId="77777777" w:rsidR="008C4CA3" w:rsidRPr="008C4CA3" w:rsidRDefault="008C4CA3" w:rsidP="008C4CA3">
            <w:pPr>
              <w:pStyle w:val="HTMLPreformatted"/>
              <w:ind w:left="360"/>
              <w:jc w:val="both"/>
              <w:rPr>
                <w:rFonts w:ascii="Times New Roman" w:hAnsi="Times New Roman"/>
                <w:sz w:val="22"/>
                <w:szCs w:val="22"/>
              </w:rPr>
            </w:pPr>
            <w:r w:rsidRPr="008C4CA3">
              <w:rPr>
                <w:rFonts w:ascii="Times New Roman" w:hAnsi="Times New Roman"/>
                <w:sz w:val="22"/>
                <w:szCs w:val="22"/>
              </w:rPr>
              <w:t>Belanja Pemerintah (GOV)</w:t>
            </w:r>
          </w:p>
        </w:tc>
        <w:tc>
          <w:tcPr>
            <w:tcW w:w="0" w:type="auto"/>
            <w:tcBorders>
              <w:top w:val="none" w:sz="0" w:space="0" w:color="auto"/>
              <w:bottom w:val="none" w:sz="0" w:space="0" w:color="auto"/>
            </w:tcBorders>
            <w:hideMark/>
          </w:tcPr>
          <w:p w14:paraId="73F0442C" w14:textId="7DB32F90" w:rsidR="008C4CA3"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7294D">
              <w:rPr>
                <w:rFonts w:ascii="Times New Roman" w:hAnsi="Times New Roman"/>
                <w:sz w:val="22"/>
                <w:szCs w:val="22"/>
              </w:rPr>
              <w:t>Belanja pemerintah dipengaruhi oleh GDP dan belanja masa lalu. Hal ini menunjukkan bahwa kebijakan fiskal bersifat pro-siklikal, di mana peningkatan output mendorong peningkatan kapasitas fiskal pemerintah.</w:t>
            </w:r>
            <w:r>
              <w:rPr>
                <w:rFonts w:ascii="Times New Roman" w:hAnsi="Times New Roman"/>
                <w:sz w:val="22"/>
                <w:szCs w:val="22"/>
              </w:rPr>
              <w:t xml:space="preserve"> </w:t>
            </w:r>
            <w:r w:rsidRPr="00E7294D">
              <w:rPr>
                <w:rFonts w:ascii="Times New Roman" w:hAnsi="Times New Roman"/>
                <w:sz w:val="22"/>
                <w:szCs w:val="22"/>
              </w:rPr>
              <w:t xml:space="preserve">Temuan ini sejalan dengan studi </w:t>
            </w:r>
            <w:sdt>
              <w:sdtPr>
                <w:rPr>
                  <w:rFonts w:ascii="Times New Roman" w:hAnsi="Times New Roman"/>
                  <w:color w:val="000000"/>
                  <w:sz w:val="22"/>
                  <w:szCs w:val="22"/>
                </w:rPr>
                <w:tag w:val="MENDELEY_CITATION_v3_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"/>
                <w:id w:val="-1677257577"/>
                <w:placeholder>
                  <w:docPart w:val="DefaultPlaceholder_-1854013440"/>
                </w:placeholder>
              </w:sdtPr>
              <w:sdtContent>
                <w:r w:rsidR="00B00617" w:rsidRPr="00B00617">
                  <w:rPr>
                    <w:rFonts w:ascii="Times New Roman" w:hAnsi="Times New Roman"/>
                    <w:color w:val="000000"/>
                    <w:sz w:val="22"/>
                    <w:szCs w:val="22"/>
                  </w:rPr>
                  <w:t>(Kaminsky et al., 2004)</w:t>
                </w:r>
              </w:sdtContent>
            </w:sdt>
            <w:r w:rsidRPr="00E7294D">
              <w:rPr>
                <w:rFonts w:ascii="Times New Roman" w:hAnsi="Times New Roman"/>
                <w:sz w:val="22"/>
                <w:szCs w:val="22"/>
              </w:rPr>
              <w:t xml:space="preserve"> yang menemukan bahwa banyak negara berkembang menerapkan kebijakan fiskal pro-siklikal.</w:t>
            </w:r>
          </w:p>
          <w:p w14:paraId="1D29EEFD" w14:textId="77777777" w:rsidR="00E7294D"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p w14:paraId="77C84FF6" w14:textId="1519B08A" w:rsidR="00E7294D" w:rsidRPr="008C4CA3"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p>
        </w:tc>
      </w:tr>
      <w:tr w:rsidR="008C4CA3" w:rsidRPr="008C4CA3" w14:paraId="6628A207" w14:textId="77777777" w:rsidTr="00706DE7">
        <w:tc>
          <w:tcPr>
            <w:cnfStyle w:val="001000000000" w:firstRow="0" w:lastRow="0" w:firstColumn="1" w:lastColumn="0" w:oddVBand="0" w:evenVBand="0" w:oddHBand="0" w:evenHBand="0" w:firstRowFirstColumn="0" w:firstRowLastColumn="0" w:lastRowFirstColumn="0" w:lastRowLastColumn="0"/>
            <w:tcW w:w="0" w:type="auto"/>
            <w:hideMark/>
          </w:tcPr>
          <w:p w14:paraId="42A422FE" w14:textId="77777777" w:rsidR="008C4CA3" w:rsidRPr="008C4CA3" w:rsidRDefault="008C4CA3" w:rsidP="008C4CA3">
            <w:pPr>
              <w:pStyle w:val="HTMLPreformatted"/>
              <w:ind w:left="360"/>
              <w:jc w:val="both"/>
              <w:rPr>
                <w:rFonts w:ascii="Times New Roman" w:hAnsi="Times New Roman"/>
                <w:sz w:val="22"/>
                <w:szCs w:val="22"/>
              </w:rPr>
            </w:pPr>
            <w:r w:rsidRPr="008C4CA3">
              <w:rPr>
                <w:rFonts w:ascii="Times New Roman" w:hAnsi="Times New Roman"/>
                <w:sz w:val="22"/>
                <w:szCs w:val="22"/>
              </w:rPr>
              <w:t>Nilai Tukar (KURS)</w:t>
            </w:r>
          </w:p>
        </w:tc>
        <w:tc>
          <w:tcPr>
            <w:tcW w:w="0" w:type="auto"/>
            <w:hideMark/>
          </w:tcPr>
          <w:p w14:paraId="041E41F1" w14:textId="0255E784" w:rsidR="008C4CA3" w:rsidRDefault="00E7294D" w:rsidP="008C4CA3">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E7294D">
              <w:rPr>
                <w:rFonts w:ascii="Times New Roman" w:hAnsi="Times New Roman"/>
                <w:sz w:val="22"/>
                <w:szCs w:val="22"/>
              </w:rPr>
              <w:t>Nilai tukar dipengaruhi oleh shock eksternal (lag sendiri) dan kondisi domestik. Dominasi lag sendiri menunjukkan adanya volatilitas yang persisten akibat faktor global seperti arus modal dan perubahan suku bunga global.</w:t>
            </w:r>
            <w:r>
              <w:rPr>
                <w:rFonts w:ascii="Times New Roman" w:hAnsi="Times New Roman"/>
                <w:sz w:val="22"/>
                <w:szCs w:val="22"/>
              </w:rPr>
              <w:t xml:space="preserve"> </w:t>
            </w:r>
            <w:r w:rsidRPr="00E7294D">
              <w:rPr>
                <w:rFonts w:ascii="Times New Roman" w:hAnsi="Times New Roman"/>
                <w:sz w:val="22"/>
                <w:szCs w:val="22"/>
              </w:rPr>
              <w:t xml:space="preserve">Hasil ini konsisten dengan pendekatan </w:t>
            </w:r>
            <w:sdt>
              <w:sdtPr>
                <w:rPr>
                  <w:rFonts w:ascii="Times New Roman" w:hAnsi="Times New Roman"/>
                  <w:color w:val="000000"/>
                  <w:sz w:val="22"/>
                  <w:szCs w:val="22"/>
                </w:rPr>
                <w:tag w:val="MENDELEY_CITATION_v3_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"/>
                <w:id w:val="-1882930978"/>
                <w:placeholder>
                  <w:docPart w:val="DefaultPlaceholder_-1854013440"/>
                </w:placeholder>
              </w:sdtPr>
              <w:sdtContent>
                <w:r w:rsidR="00B00617" w:rsidRPr="00B00617">
                  <w:rPr>
                    <w:rFonts w:ascii="Times New Roman" w:hAnsi="Times New Roman"/>
                    <w:color w:val="000000"/>
                    <w:sz w:val="22"/>
                    <w:szCs w:val="22"/>
                  </w:rPr>
                  <w:t>(Dornbusch, 1976)</w:t>
                </w:r>
              </w:sdtContent>
            </w:sdt>
            <w:r w:rsidRPr="00E7294D">
              <w:rPr>
                <w:rFonts w:ascii="Times New Roman" w:hAnsi="Times New Roman"/>
                <w:sz w:val="22"/>
                <w:szCs w:val="22"/>
              </w:rPr>
              <w:t xml:space="preserve"> mengenai overshooting model, di mana nilai tukar sangat responsif </w:t>
            </w:r>
            <w:r w:rsidRPr="00E7294D">
              <w:rPr>
                <w:rFonts w:ascii="Times New Roman" w:hAnsi="Times New Roman"/>
                <w:sz w:val="22"/>
                <w:szCs w:val="22"/>
              </w:rPr>
              <w:lastRenderedPageBreak/>
              <w:t>terhadap perubahan ekspektasi dan shock eksternal.</w:t>
            </w:r>
          </w:p>
          <w:p w14:paraId="637907A0" w14:textId="77777777" w:rsidR="00E7294D" w:rsidRDefault="00E7294D" w:rsidP="008C4CA3">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p w14:paraId="2DDF2F5C" w14:textId="488245CB" w:rsidR="00E7294D" w:rsidRPr="008C4CA3" w:rsidRDefault="00E7294D" w:rsidP="008C4CA3">
            <w:pPr>
              <w:pStyle w:val="HTMLPreformatted"/>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p>
        </w:tc>
      </w:tr>
      <w:tr w:rsidR="008C4CA3" w:rsidRPr="008C4CA3" w14:paraId="06198C2A" w14:textId="77777777" w:rsidTr="00706D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double" w:sz="4" w:space="0" w:color="auto"/>
            </w:tcBorders>
            <w:hideMark/>
          </w:tcPr>
          <w:p w14:paraId="3FDCDCEE" w14:textId="77777777" w:rsidR="008C4CA3" w:rsidRPr="008C4CA3" w:rsidRDefault="008C4CA3" w:rsidP="008C4CA3">
            <w:pPr>
              <w:pStyle w:val="HTMLPreformatted"/>
              <w:ind w:left="360"/>
              <w:jc w:val="both"/>
              <w:rPr>
                <w:rFonts w:ascii="Times New Roman" w:hAnsi="Times New Roman"/>
                <w:sz w:val="22"/>
                <w:szCs w:val="22"/>
              </w:rPr>
            </w:pPr>
            <w:r w:rsidRPr="008C4CA3">
              <w:rPr>
                <w:rFonts w:ascii="Times New Roman" w:hAnsi="Times New Roman"/>
                <w:sz w:val="22"/>
                <w:szCs w:val="22"/>
              </w:rPr>
              <w:lastRenderedPageBreak/>
              <w:t>Pajak (TAX)</w:t>
            </w:r>
          </w:p>
        </w:tc>
        <w:tc>
          <w:tcPr>
            <w:tcW w:w="0" w:type="auto"/>
            <w:tcBorders>
              <w:top w:val="none" w:sz="0" w:space="0" w:color="auto"/>
              <w:bottom w:val="double" w:sz="4" w:space="0" w:color="auto"/>
            </w:tcBorders>
            <w:hideMark/>
          </w:tcPr>
          <w:p w14:paraId="17147001" w14:textId="74BB5EE1" w:rsidR="008C4CA3" w:rsidRPr="008C4CA3" w:rsidRDefault="00E7294D" w:rsidP="008C4CA3">
            <w:pPr>
              <w:pStyle w:val="HTMLPreformatted"/>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E7294D">
              <w:rPr>
                <w:rFonts w:ascii="Times New Roman" w:hAnsi="Times New Roman"/>
                <w:sz w:val="22"/>
                <w:szCs w:val="22"/>
              </w:rPr>
              <w:t>Pajak dipengaruhi oleh GDP dan belanja pemerintah. Hal ini mencerminkan bahwa penerimaan pajak sangat bergantung pada aktivitas ekonomi (automatic stabilizer). Ketika GDP meningkat, basis pajak meningkat sehingga penerimaan pajak naik.</w:t>
            </w:r>
            <w:r>
              <w:rPr>
                <w:rFonts w:ascii="Times New Roman" w:hAnsi="Times New Roman"/>
                <w:sz w:val="22"/>
                <w:szCs w:val="22"/>
              </w:rPr>
              <w:t xml:space="preserve"> </w:t>
            </w:r>
            <w:r w:rsidRPr="00E7294D">
              <w:rPr>
                <w:rFonts w:ascii="Times New Roman" w:hAnsi="Times New Roman"/>
                <w:sz w:val="22"/>
                <w:szCs w:val="22"/>
              </w:rPr>
              <w:t xml:space="preserve">Temuan ini konsisten dengan teori fiskal modern dan penelitian </w:t>
            </w:r>
            <w:sdt>
              <w:sdtPr>
                <w:rPr>
                  <w:rFonts w:ascii="Times New Roman" w:hAnsi="Times New Roman"/>
                  <w:color w:val="000000"/>
                  <w:sz w:val="22"/>
                  <w:szCs w:val="22"/>
                </w:rPr>
                <w:tag w:val="MENDELEY_CITATION_v3_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"/>
                <w:id w:val="-1211338669"/>
                <w:placeholder>
                  <w:docPart w:val="DefaultPlaceholder_-1854013440"/>
                </w:placeholder>
              </w:sdtPr>
              <w:sdtContent>
                <w:r w:rsidR="00B00617" w:rsidRPr="00B00617">
                  <w:rPr>
                    <w:rFonts w:ascii="Times New Roman" w:hAnsi="Times New Roman"/>
                    <w:color w:val="000000"/>
                    <w:sz w:val="22"/>
                  </w:rPr>
                  <w:t>(Auerbach &amp; Gorodnichenko, 2012)</w:t>
                </w:r>
              </w:sdtContent>
            </w:sdt>
            <w:r w:rsidRPr="00E7294D">
              <w:rPr>
                <w:rFonts w:ascii="Times New Roman" w:hAnsi="Times New Roman"/>
                <w:sz w:val="22"/>
                <w:szCs w:val="22"/>
              </w:rPr>
              <w:t xml:space="preserve"> mengenai siklus fiskal dan respons penerimaan negara terhadap fluktuasi ekonomi.</w:t>
            </w:r>
          </w:p>
        </w:tc>
      </w:tr>
    </w:tbl>
    <w:p w14:paraId="7AA6F218" w14:textId="77777777" w:rsidR="006B21F9" w:rsidRDefault="006B21F9" w:rsidP="006B2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p>
    <w:p w14:paraId="153CB62D" w14:textId="5C3F121E" w:rsidR="008C4CA3" w:rsidRDefault="006B21F9" w:rsidP="007275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proofErr w:type="gramStart"/>
      <w:r w:rsidRPr="006B21F9">
        <w:rPr>
          <w:rFonts w:ascii="Times New Roman" w:hAnsi="Times New Roman"/>
          <w:sz w:val="22"/>
          <w:szCs w:val="22"/>
        </w:rPr>
        <w:t>Hasil estimasi VAR menunjukkan bahwa inflasi di Indonesia dipengaruhi secara signifikan oleh kebijakan moneter, kebijakan fiskal, dan faktor eksternal.</w:t>
      </w:r>
      <w:proofErr w:type="gramEnd"/>
      <w:r w:rsidRPr="006B21F9">
        <w:rPr>
          <w:rFonts w:ascii="Times New Roman" w:hAnsi="Times New Roman"/>
          <w:sz w:val="22"/>
          <w:szCs w:val="22"/>
        </w:rPr>
        <w:t xml:space="preserve"> </w:t>
      </w:r>
      <w:proofErr w:type="gramStart"/>
      <w:r w:rsidRPr="006B21F9">
        <w:rPr>
          <w:rFonts w:ascii="Times New Roman" w:hAnsi="Times New Roman"/>
          <w:sz w:val="22"/>
          <w:szCs w:val="22"/>
        </w:rPr>
        <w:t>Kebijakan moneter berperan dominan dalam pengendalian inflasi, sementara kebijakan fiskal berperan penting dalam mendorong pertumbuhan ekonomi dan memengaruhi pasar tenaga kerja.</w:t>
      </w:r>
      <w:proofErr w:type="gramEnd"/>
      <w:r w:rsidRPr="006B21F9">
        <w:rPr>
          <w:rFonts w:ascii="Times New Roman" w:hAnsi="Times New Roman"/>
          <w:sz w:val="22"/>
          <w:szCs w:val="22"/>
        </w:rPr>
        <w:t xml:space="preserve"> </w:t>
      </w:r>
      <w:proofErr w:type="gramStart"/>
      <w:r w:rsidRPr="006B21F9">
        <w:rPr>
          <w:rFonts w:ascii="Times New Roman" w:hAnsi="Times New Roman"/>
          <w:sz w:val="22"/>
          <w:szCs w:val="22"/>
        </w:rPr>
        <w:t>Temuan ini menegaskan pentingnya koordinasi kebijakan moneter dan fiskal.</w:t>
      </w:r>
      <w:proofErr w:type="gramEnd"/>
    </w:p>
    <w:p w14:paraId="4A23F385" w14:textId="6A107A9D" w:rsidR="00022A16" w:rsidRPr="008C4CA3" w:rsidRDefault="00022A16" w:rsidP="008C4CA3">
      <w:pPr>
        <w:pStyle w:val="HTMLPreformatted"/>
        <w:spacing w:before="200"/>
        <w:jc w:val="both"/>
        <w:rPr>
          <w:rFonts w:ascii="Times New Roman" w:hAnsi="Times New Roman"/>
          <w:sz w:val="22"/>
          <w:szCs w:val="22"/>
        </w:rPr>
      </w:pPr>
      <w:r w:rsidRPr="008C4CA3">
        <w:rPr>
          <w:rFonts w:ascii="Times New Roman" w:hAnsi="Times New Roman"/>
          <w:b/>
          <w:sz w:val="22"/>
          <w:szCs w:val="22"/>
        </w:rPr>
        <w:t>KESIMPULAN</w:t>
      </w:r>
    </w:p>
    <w:p w14:paraId="1ECBE423" w14:textId="4B5B727A" w:rsidR="006B21F9" w:rsidRPr="00081C79" w:rsidRDefault="008C4CA3" w:rsidP="006B21F9">
      <w:pPr>
        <w:pStyle w:val="HTMLPreformatted"/>
        <w:jc w:val="both"/>
        <w:rPr>
          <w:rFonts w:ascii="Times New Roman" w:hAnsi="Times New Roman"/>
          <w:color w:val="202124"/>
          <w:sz w:val="22"/>
          <w:szCs w:val="22"/>
        </w:rPr>
      </w:pPr>
      <w:proofErr w:type="gramStart"/>
      <w:r w:rsidRPr="0045272C">
        <w:rPr>
          <w:rFonts w:ascii="Times New Roman" w:hAnsi="Times New Roman"/>
          <w:color w:val="202124"/>
          <w:sz w:val="22"/>
          <w:szCs w:val="22"/>
        </w:rPr>
        <w:t>Penelitian ini bertujuan untuk menganalisis dinamika interaksi kebijakan moneter dan fiskal serta pengaruhnya terhadap inflasi dan pengangguran di Indonesia dengan menggunakan pendekatan Vector Autoregression (VAR) pada periode 2000–2024.</w:t>
      </w:r>
      <w:proofErr w:type="gramEnd"/>
      <w:r w:rsidRPr="0045272C">
        <w:rPr>
          <w:rFonts w:ascii="Times New Roman" w:hAnsi="Times New Roman"/>
          <w:color w:val="202124"/>
          <w:sz w:val="22"/>
          <w:szCs w:val="22"/>
        </w:rPr>
        <w:t xml:space="preserve"> Berdasarkan hasil analisis empiris yang telah dilakukan, </w:t>
      </w:r>
      <w:r w:rsidR="00E63013">
        <w:rPr>
          <w:rFonts w:ascii="Times New Roman" w:hAnsi="Times New Roman"/>
          <w:color w:val="202124"/>
          <w:sz w:val="22"/>
          <w:szCs w:val="22"/>
        </w:rPr>
        <w:t>bahwa h</w:t>
      </w:r>
      <w:r w:rsidR="006B21F9" w:rsidRPr="00E63013">
        <w:rPr>
          <w:rFonts w:ascii="Times New Roman" w:hAnsi="Times New Roman"/>
          <w:color w:val="202124"/>
          <w:sz w:val="22"/>
          <w:szCs w:val="22"/>
        </w:rPr>
        <w:t xml:space="preserve">asil uji stasioneritas menunjukkan bahwa variabel dalam model memiliki kombinasi orde integrasi </w:t>
      </w:r>
      <w:proofErr w:type="gramStart"/>
      <w:r w:rsidR="006B21F9" w:rsidRPr="00E63013">
        <w:rPr>
          <w:rFonts w:ascii="Times New Roman" w:hAnsi="Times New Roman"/>
          <w:color w:val="202124"/>
          <w:sz w:val="22"/>
          <w:szCs w:val="22"/>
        </w:rPr>
        <w:t>I(</w:t>
      </w:r>
      <w:proofErr w:type="gramEnd"/>
      <w:r w:rsidR="006B21F9" w:rsidRPr="00E63013">
        <w:rPr>
          <w:rFonts w:ascii="Times New Roman" w:hAnsi="Times New Roman"/>
          <w:color w:val="202124"/>
          <w:sz w:val="22"/>
          <w:szCs w:val="22"/>
        </w:rPr>
        <w:t xml:space="preserve">0) dan I(1). </w:t>
      </w:r>
      <w:proofErr w:type="gramStart"/>
      <w:r w:rsidR="006B21F9" w:rsidRPr="00E63013">
        <w:rPr>
          <w:rFonts w:ascii="Times New Roman" w:hAnsi="Times New Roman"/>
          <w:color w:val="202124"/>
          <w:sz w:val="22"/>
          <w:szCs w:val="22"/>
        </w:rPr>
        <w:t>Selanjutnya, uji kointegrasi Johansen mengindikasikan adanya hubungan keseimbangan jangka panjang antar variabel.</w:t>
      </w:r>
      <w:proofErr w:type="gramEnd"/>
      <w:r w:rsidR="006B21F9" w:rsidRPr="00E63013">
        <w:rPr>
          <w:rFonts w:ascii="Times New Roman" w:hAnsi="Times New Roman"/>
          <w:color w:val="202124"/>
          <w:sz w:val="22"/>
          <w:szCs w:val="22"/>
        </w:rPr>
        <w:t xml:space="preserve"> Penentuan lag optimal menghasilkan lag 2, dan uji stabilitas VAR menunjukkan bahwa seluruh akar karakteristik berada di dalam lingkaran satuan. </w:t>
      </w:r>
      <w:proofErr w:type="gramStart"/>
      <w:r w:rsidR="006B21F9" w:rsidRPr="00E63013">
        <w:rPr>
          <w:rFonts w:ascii="Times New Roman" w:hAnsi="Times New Roman"/>
          <w:color w:val="202124"/>
          <w:sz w:val="22"/>
          <w:szCs w:val="22"/>
        </w:rPr>
        <w:t>Dengan demikian, model VAR yang digunakan layak, stabil, dan dapat diandalkan untuk menganalisis dinamika jangka pendek dan menengah.</w:t>
      </w:r>
      <w:proofErr w:type="gramEnd"/>
      <w:r w:rsid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Berdasarkan uji kausalitas Granger, ditemukan bahwa suku bunga kebijakan (BI Rate) secara statistik menyebabkan inflasi dan pengangguran, sedangkan hubungan sebaliknya tidak terbukti signifikan.</w:t>
      </w:r>
      <w:proofErr w:type="gramEnd"/>
      <w:r w:rsidR="006B21F9" w:rsidRP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Selain itu, inflasi terbukti menyebabkan pengangguran, yang mengindikasikan adanya transmisi tekanan harga terhadap kondisi pasar tenaga kerja.</w:t>
      </w:r>
      <w:proofErr w:type="gramEnd"/>
      <w:r w:rsidR="006B21F9" w:rsidRP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Dari sisi fiskal dan eksternal, belanja pemerintah, pajak, dan nilai tukar terbukti memiliki hubungan kausalitas terhadap inflasi.</w:t>
      </w:r>
      <w:proofErr w:type="gramEnd"/>
      <w:r w:rsidR="006B21F9" w:rsidRP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Temuan ini menegaskan bahwa dinamika inflasi dan pengangguran di Indonesia dipengaruhi oleh interaksi kebijakan moneter dan fiskal serta faktor eksternal.</w:t>
      </w:r>
      <w:proofErr w:type="gramEnd"/>
      <w:r w:rsid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Hasil Impulse Response Function (IRF) menunjukkan bahwa guncangan positif BI Rate direspons oleh penurunan inflasi setelah beberapa periode, yang mencerminkan efektivitas transmisi kebijakan moneter dalam pengendalian harga.</w:t>
      </w:r>
      <w:proofErr w:type="gramEnd"/>
      <w:r w:rsidR="006B21F9" w:rsidRP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Namun demikian, guncangan tersebut juga direspons oleh kenaikan pengangguran pada periode awal, yang menggambarkan adanya trade-off jangka pendek antara stabilitas harga dan kondisi pasar tenaga kerja.</w:t>
      </w:r>
      <w:proofErr w:type="gramEnd"/>
      <w:r w:rsidR="006B21F9" w:rsidRPr="00E63013">
        <w:rPr>
          <w:rFonts w:ascii="Times New Roman" w:hAnsi="Times New Roman"/>
          <w:color w:val="202124"/>
          <w:sz w:val="22"/>
          <w:szCs w:val="22"/>
        </w:rPr>
        <w:t xml:space="preserve"> Di sisi </w:t>
      </w:r>
      <w:proofErr w:type="gramStart"/>
      <w:r w:rsidR="006B21F9" w:rsidRPr="00E63013">
        <w:rPr>
          <w:rFonts w:ascii="Times New Roman" w:hAnsi="Times New Roman"/>
          <w:color w:val="202124"/>
          <w:sz w:val="22"/>
          <w:szCs w:val="22"/>
        </w:rPr>
        <w:t>lain</w:t>
      </w:r>
      <w:proofErr w:type="gramEnd"/>
      <w:r w:rsidR="006B21F9" w:rsidRPr="00E63013">
        <w:rPr>
          <w:rFonts w:ascii="Times New Roman" w:hAnsi="Times New Roman"/>
          <w:color w:val="202124"/>
          <w:sz w:val="22"/>
          <w:szCs w:val="22"/>
        </w:rPr>
        <w:t xml:space="preserve">, guncangan kebijakan fiskal, khususnya belanja pemerintah, mendorong pertumbuhan ekonomi namun berpotensi meningkatkan tekanan inflasi dalam jangka pendek hingga menengah. </w:t>
      </w:r>
      <w:proofErr w:type="gramStart"/>
      <w:r w:rsidR="006B21F9" w:rsidRPr="00E63013">
        <w:rPr>
          <w:rFonts w:ascii="Times New Roman" w:hAnsi="Times New Roman"/>
          <w:color w:val="202124"/>
          <w:sz w:val="22"/>
          <w:szCs w:val="22"/>
        </w:rPr>
        <w:t>Seluruh respon variabel bersifat konvergen, yang menandakan stabilitas sistem ekonomi.</w:t>
      </w:r>
      <w:proofErr w:type="gramEnd"/>
      <w:r w:rsid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Hasil Forecast Error Variance Decomposition (FEVD) menunjukkan bahwa variasi inflasi dalam jangka menengah dan panjang paling besar dijelaskan oleh shock suku bunga kebijakan, menegaskan peran dominan kebijakan moneter dalam menjaga stabilitas harga.</w:t>
      </w:r>
      <w:proofErr w:type="gramEnd"/>
      <w:r w:rsidR="006B21F9" w:rsidRP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Sementara itu, variasi pengangguran dan pertumbuhan ekonomi lebih banyak dipengaruhi oleh faktor internal ekonomi dan kebijakan fiskal, khususnya belanja pemerintah.</w:t>
      </w:r>
      <w:proofErr w:type="gramEnd"/>
      <w:r w:rsidR="006B21F9" w:rsidRPr="00E63013">
        <w:rPr>
          <w:rFonts w:ascii="Times New Roman" w:hAnsi="Times New Roman"/>
          <w:color w:val="202124"/>
          <w:sz w:val="22"/>
          <w:szCs w:val="22"/>
        </w:rPr>
        <w:t xml:space="preserve"> </w:t>
      </w:r>
      <w:proofErr w:type="gramStart"/>
      <w:r w:rsidR="006B21F9" w:rsidRPr="00E63013">
        <w:rPr>
          <w:rFonts w:ascii="Times New Roman" w:hAnsi="Times New Roman"/>
          <w:color w:val="202124"/>
          <w:sz w:val="22"/>
          <w:szCs w:val="22"/>
        </w:rPr>
        <w:t>Variasi penerimaan pajak sebagian besar ditentukan oleh pertumbuhan ekonomi dan belanja pemerintah, yang menunjukkan ketergantungan kuat kebijakan fiskal terhadap kinerja ekonomi.</w:t>
      </w:r>
      <w:proofErr w:type="gramEnd"/>
      <w:r w:rsidR="00E63013">
        <w:rPr>
          <w:rFonts w:ascii="Times New Roman" w:hAnsi="Times New Roman"/>
          <w:color w:val="202124"/>
          <w:sz w:val="22"/>
          <w:szCs w:val="22"/>
        </w:rPr>
        <w:t xml:space="preserve"> </w:t>
      </w:r>
      <w:proofErr w:type="gramStart"/>
      <w:r w:rsidR="00E63013">
        <w:rPr>
          <w:rFonts w:ascii="Times New Roman" w:hAnsi="Times New Roman"/>
          <w:color w:val="202124"/>
          <w:sz w:val="22"/>
          <w:szCs w:val="22"/>
        </w:rPr>
        <w:t>Sehingga se</w:t>
      </w:r>
      <w:r w:rsidR="006B21F9" w:rsidRPr="00E63013">
        <w:rPr>
          <w:rFonts w:ascii="Times New Roman" w:hAnsi="Times New Roman"/>
          <w:color w:val="202124"/>
          <w:sz w:val="22"/>
          <w:szCs w:val="22"/>
        </w:rPr>
        <w:t>cara keseluruhan, hasil penelitian ini mengindikasikan bahwa kebijakan moneter</w:t>
      </w:r>
      <w:r w:rsidR="006B21F9" w:rsidRPr="0045272C">
        <w:rPr>
          <w:rFonts w:ascii="Times New Roman" w:hAnsi="Times New Roman"/>
          <w:color w:val="202124"/>
          <w:sz w:val="22"/>
          <w:szCs w:val="22"/>
        </w:rPr>
        <w:t xml:space="preserve"> dan fiskal di Indonesia tidak bekerja secara terpisah, melainkan saling berinteraksi dalam memengaruhi inflasi, pengangguran, dan pertumbuhan ekonomi.</w:t>
      </w:r>
      <w:proofErr w:type="gramEnd"/>
      <w:r w:rsidR="006B21F9" w:rsidRPr="0045272C">
        <w:rPr>
          <w:rFonts w:ascii="Times New Roman" w:hAnsi="Times New Roman"/>
          <w:color w:val="202124"/>
          <w:sz w:val="22"/>
          <w:szCs w:val="22"/>
        </w:rPr>
        <w:t xml:space="preserve"> </w:t>
      </w:r>
      <w:proofErr w:type="gramStart"/>
      <w:r w:rsidR="006B21F9" w:rsidRPr="0045272C">
        <w:rPr>
          <w:rFonts w:ascii="Times New Roman" w:hAnsi="Times New Roman"/>
          <w:color w:val="202124"/>
          <w:sz w:val="22"/>
          <w:szCs w:val="22"/>
        </w:rPr>
        <w:t>Kebijakan moneter berperan dominan dalam pengendalian inflasi, sedangkan kebijakan fiskal berperan penting dalam mendorong pertumbuhan ekonomi dan memengaruhi pasar tenaga kerja.</w:t>
      </w:r>
      <w:proofErr w:type="gramEnd"/>
      <w:r w:rsidR="006B21F9" w:rsidRPr="0045272C">
        <w:rPr>
          <w:rFonts w:ascii="Times New Roman" w:hAnsi="Times New Roman"/>
          <w:color w:val="202124"/>
          <w:sz w:val="22"/>
          <w:szCs w:val="22"/>
        </w:rPr>
        <w:t xml:space="preserve"> </w:t>
      </w:r>
      <w:proofErr w:type="gramStart"/>
      <w:r w:rsidR="006B21F9" w:rsidRPr="0045272C">
        <w:rPr>
          <w:rFonts w:ascii="Times New Roman" w:hAnsi="Times New Roman"/>
          <w:color w:val="202124"/>
          <w:sz w:val="22"/>
          <w:szCs w:val="22"/>
        </w:rPr>
        <w:t>Oleh karena itu, koordinasi kebijakan moneter dan fiskal menjadi kunci utama dalam menjaga stabilitas makroekonomi dan mendukung</w:t>
      </w:r>
      <w:r w:rsidR="006B21F9" w:rsidRPr="006B21F9">
        <w:rPr>
          <w:rFonts w:ascii="Times New Roman" w:hAnsi="Times New Roman"/>
          <w:color w:val="202124"/>
          <w:sz w:val="22"/>
          <w:szCs w:val="22"/>
        </w:rPr>
        <w:t xml:space="preserve"> pembangunan ekonomi yang berkelanjutan di Indonesia.</w:t>
      </w:r>
      <w:proofErr w:type="gramEnd"/>
    </w:p>
    <w:p w14:paraId="6115A5A9" w14:textId="77777777" w:rsidR="00022A16" w:rsidRDefault="00022A16" w:rsidP="0069733F">
      <w:pPr>
        <w:spacing w:before="200" w:after="0" w:line="240" w:lineRule="auto"/>
        <w:jc w:val="both"/>
        <w:rPr>
          <w:b/>
        </w:rPr>
      </w:pPr>
      <w:r>
        <w:rPr>
          <w:b/>
        </w:rPr>
        <w:t>UCAPAN TERIMA KASIH</w:t>
      </w:r>
    </w:p>
    <w:p w14:paraId="4C4A1B01" w14:textId="77777777" w:rsidR="006B21F9" w:rsidRDefault="006B21F9" w:rsidP="006B21F9">
      <w:pPr>
        <w:pStyle w:val="HTMLPreformatted"/>
        <w:jc w:val="both"/>
        <w:rPr>
          <w:rFonts w:ascii="Times New Roman" w:hAnsi="Times New Roman"/>
          <w:color w:val="202124"/>
          <w:sz w:val="22"/>
          <w:szCs w:val="22"/>
        </w:rPr>
      </w:pPr>
      <w:r>
        <w:rPr>
          <w:rStyle w:val="y2iqfc"/>
          <w:rFonts w:ascii="Times New Roman" w:hAnsi="Times New Roman"/>
          <w:color w:val="202124"/>
          <w:sz w:val="22"/>
          <w:szCs w:val="22"/>
          <w:lang w:val="id-ID"/>
        </w:rPr>
        <w:t xml:space="preserve">Penulis mengucapkan terimakasih kepada kedua bapak dosen </w:t>
      </w:r>
      <w:r w:rsidRPr="006B21F9">
        <w:rPr>
          <w:rFonts w:ascii="Times New Roman" w:hAnsi="Times New Roman"/>
          <w:color w:val="202124"/>
          <w:sz w:val="22"/>
          <w:szCs w:val="22"/>
        </w:rPr>
        <w:t xml:space="preserve">atas bimbingan, masukan ilmiah, serta arahan yang diberikan selama proses penyusunan dan penyempurnaan artikel ini. </w:t>
      </w:r>
      <w:proofErr w:type="gramStart"/>
      <w:r w:rsidRPr="006B21F9">
        <w:rPr>
          <w:rFonts w:ascii="Times New Roman" w:hAnsi="Times New Roman"/>
          <w:color w:val="202124"/>
          <w:sz w:val="22"/>
          <w:szCs w:val="22"/>
        </w:rPr>
        <w:t xml:space="preserve">Kontribusi </w:t>
      </w:r>
      <w:r w:rsidRPr="006B21F9">
        <w:rPr>
          <w:rFonts w:ascii="Times New Roman" w:hAnsi="Times New Roman"/>
          <w:color w:val="202124"/>
          <w:sz w:val="22"/>
          <w:szCs w:val="22"/>
        </w:rPr>
        <w:lastRenderedPageBreak/>
        <w:t>pemikiran dan diskusi akademik yang diberikan sangat berperan dalam meningkatkan kualitas analisis dan substansi penelitian ini.</w:t>
      </w:r>
      <w:proofErr w:type="gramEnd"/>
    </w:p>
    <w:p w14:paraId="1EF7238A" w14:textId="77777777" w:rsidR="006B21F9" w:rsidRDefault="006B21F9" w:rsidP="006B21F9">
      <w:pPr>
        <w:pStyle w:val="HTMLPreformatted"/>
        <w:jc w:val="both"/>
        <w:rPr>
          <w:rFonts w:ascii="Times New Roman" w:hAnsi="Times New Roman"/>
          <w:color w:val="202124"/>
          <w:sz w:val="22"/>
          <w:szCs w:val="22"/>
        </w:rPr>
      </w:pPr>
    </w:p>
    <w:p w14:paraId="5BD4C037" w14:textId="03FBA28E" w:rsidR="00BD2377" w:rsidRDefault="00022A16" w:rsidP="006B21F9">
      <w:pPr>
        <w:pStyle w:val="HTMLPreformatted"/>
        <w:jc w:val="both"/>
        <w:rPr>
          <w:rFonts w:ascii="Times New Roman" w:hAnsi="Times New Roman"/>
          <w:b/>
          <w:sz w:val="22"/>
          <w:szCs w:val="22"/>
        </w:rPr>
      </w:pPr>
      <w:r w:rsidRPr="006B21F9">
        <w:rPr>
          <w:rFonts w:ascii="Times New Roman" w:hAnsi="Times New Roman"/>
          <w:b/>
          <w:sz w:val="22"/>
          <w:szCs w:val="22"/>
        </w:rPr>
        <w:t>DAFTAR PUSTAKA</w:t>
      </w:r>
    </w:p>
    <w:p w14:paraId="1470D6AC" w14:textId="77777777" w:rsidR="0045272C" w:rsidRDefault="0045272C" w:rsidP="006B21F9">
      <w:pPr>
        <w:pStyle w:val="HTMLPreformatted"/>
        <w:jc w:val="both"/>
        <w:rPr>
          <w:rFonts w:ascii="Times New Roman" w:hAnsi="Times New Roman"/>
          <w:sz w:val="22"/>
          <w:szCs w:val="22"/>
        </w:rPr>
      </w:pPr>
    </w:p>
    <w:sdt>
      <w:sdtPr>
        <w:rPr>
          <w:rFonts w:ascii="Courier New" w:eastAsia="Times New Roman" w:hAnsi="Courier New"/>
          <w:color w:val="000000"/>
          <w:sz w:val="20"/>
          <w:szCs w:val="20"/>
        </w:rPr>
        <w:tag w:val="MENDELEY_BIBLIOGRAPHY"/>
        <w:id w:val="-946001710"/>
        <w:placeholder>
          <w:docPart w:val="DefaultPlaceholder_-1854013440"/>
        </w:placeholder>
      </w:sdtPr>
      <w:sdtContent>
        <w:p w14:paraId="748FC14D" w14:textId="30930BDF" w:rsidR="00B00617" w:rsidRPr="00B00617" w:rsidRDefault="00B00617" w:rsidP="00B00617">
          <w:pPr>
            <w:autoSpaceDE w:val="0"/>
            <w:autoSpaceDN w:val="0"/>
            <w:ind w:hanging="480"/>
            <w:jc w:val="both"/>
            <w:divId w:val="377315013"/>
            <w:rPr>
              <w:rFonts w:eastAsia="Times New Roman"/>
              <w:color w:val="000000"/>
              <w:szCs w:val="24"/>
            </w:rPr>
          </w:pPr>
          <w:proofErr w:type="gramStart"/>
          <w:r w:rsidRPr="00B00617">
            <w:rPr>
              <w:rFonts w:eastAsia="Times New Roman"/>
              <w:color w:val="000000"/>
            </w:rPr>
            <w:t>Afonso, A., &amp; Sousa, R. M. (2012).</w:t>
          </w:r>
          <w:proofErr w:type="gramEnd"/>
          <w:r w:rsidRPr="00B00617">
            <w:rPr>
              <w:rFonts w:eastAsia="Times New Roman"/>
              <w:color w:val="000000"/>
            </w:rPr>
            <w:t xml:space="preserve"> </w:t>
          </w:r>
          <w:proofErr w:type="gramStart"/>
          <w:r w:rsidRPr="00B00617">
            <w:rPr>
              <w:rFonts w:eastAsia="Times New Roman"/>
              <w:color w:val="000000"/>
            </w:rPr>
            <w:t>The macroeconomic effects of fiscal policy.</w:t>
          </w:r>
          <w:proofErr w:type="gramEnd"/>
          <w:r w:rsidRPr="00B00617">
            <w:rPr>
              <w:rFonts w:eastAsia="Times New Roman"/>
              <w:color w:val="000000"/>
            </w:rPr>
            <w:t xml:space="preserve"> </w:t>
          </w:r>
          <w:r w:rsidRPr="00B00617">
            <w:rPr>
              <w:rFonts w:eastAsia="Times New Roman"/>
              <w:i/>
              <w:iCs/>
              <w:color w:val="000000"/>
            </w:rPr>
            <w:t>Applied Economics</w:t>
          </w:r>
          <w:r w:rsidRPr="00B00617">
            <w:rPr>
              <w:rFonts w:eastAsia="Times New Roman"/>
              <w:color w:val="000000"/>
            </w:rPr>
            <w:t xml:space="preserve">, </w:t>
          </w:r>
          <w:r w:rsidRPr="00B00617">
            <w:rPr>
              <w:rFonts w:eastAsia="Times New Roman"/>
              <w:i/>
              <w:iCs/>
              <w:color w:val="000000"/>
            </w:rPr>
            <w:t>44</w:t>
          </w:r>
          <w:r w:rsidRPr="00B00617">
            <w:rPr>
              <w:rFonts w:eastAsia="Times New Roman"/>
              <w:color w:val="000000"/>
            </w:rPr>
            <w:t xml:space="preserve">(34), 4439–4454. </w:t>
          </w:r>
          <w:hyperlink r:id="rId26" w:history="1">
            <w:r w:rsidRPr="002E2C48">
              <w:rPr>
                <w:rStyle w:val="Hyperlink"/>
                <w:rFonts w:eastAsia="Times New Roman"/>
              </w:rPr>
              <w:t>https://doi.org/10.1080/00036846.2011.591732</w:t>
            </w:r>
          </w:hyperlink>
          <w:r>
            <w:rPr>
              <w:rFonts w:eastAsia="Times New Roman"/>
              <w:color w:val="000000"/>
            </w:rPr>
            <w:t xml:space="preserve"> </w:t>
          </w:r>
        </w:p>
        <w:p w14:paraId="49F79BEF" w14:textId="7E013468" w:rsidR="00B00617" w:rsidRPr="00B00617" w:rsidRDefault="00B00617" w:rsidP="00B00617">
          <w:pPr>
            <w:autoSpaceDE w:val="0"/>
            <w:autoSpaceDN w:val="0"/>
            <w:ind w:hanging="480"/>
            <w:jc w:val="both"/>
            <w:divId w:val="1756131113"/>
            <w:rPr>
              <w:rFonts w:eastAsia="Times New Roman"/>
              <w:color w:val="000000"/>
            </w:rPr>
          </w:pPr>
          <w:proofErr w:type="gramStart"/>
          <w:r w:rsidRPr="00B00617">
            <w:rPr>
              <w:rFonts w:eastAsia="Times New Roman"/>
              <w:color w:val="000000"/>
            </w:rPr>
            <w:t>Aizenman, J., Beirne, J., Chinn, M. D., Jinjarak, Y., &amp; Park, D. (2024).</w:t>
          </w:r>
          <w:proofErr w:type="gramEnd"/>
          <w:r w:rsidRPr="00B00617">
            <w:rPr>
              <w:rFonts w:eastAsia="Times New Roman"/>
              <w:color w:val="000000"/>
            </w:rPr>
            <w:t xml:space="preserve"> Monetary and fiscal policy challenges in emerging markets amid elevated uncertainty. </w:t>
          </w:r>
          <w:proofErr w:type="gramStart"/>
          <w:r w:rsidRPr="00B00617">
            <w:rPr>
              <w:rFonts w:eastAsia="Times New Roman"/>
              <w:color w:val="000000"/>
            </w:rPr>
            <w:t xml:space="preserve">In </w:t>
          </w:r>
          <w:r w:rsidRPr="00B00617">
            <w:rPr>
              <w:rFonts w:eastAsia="Times New Roman"/>
              <w:i/>
              <w:iCs/>
              <w:color w:val="000000"/>
            </w:rPr>
            <w:t>Journal of International Money and Finance</w:t>
          </w:r>
          <w:r w:rsidRPr="00B00617">
            <w:rPr>
              <w:rFonts w:eastAsia="Times New Roman"/>
              <w:color w:val="000000"/>
            </w:rPr>
            <w:t xml:space="preserve"> (Vol. 149).</w:t>
          </w:r>
          <w:proofErr w:type="gramEnd"/>
          <w:r w:rsidRPr="00B00617">
            <w:rPr>
              <w:rFonts w:eastAsia="Times New Roman"/>
              <w:color w:val="000000"/>
            </w:rPr>
            <w:t xml:space="preserve"> Elsevier Ltd. </w:t>
          </w:r>
          <w:hyperlink r:id="rId27" w:history="1">
            <w:r w:rsidRPr="002E2C48">
              <w:rPr>
                <w:rStyle w:val="Hyperlink"/>
                <w:rFonts w:eastAsia="Times New Roman"/>
              </w:rPr>
              <w:t>https://doi.org/10.1016/j.jimonfin.2024.103199</w:t>
            </w:r>
          </w:hyperlink>
          <w:r>
            <w:rPr>
              <w:rFonts w:eastAsia="Times New Roman"/>
              <w:color w:val="000000"/>
            </w:rPr>
            <w:t xml:space="preserve"> </w:t>
          </w:r>
        </w:p>
        <w:p w14:paraId="3B260E7E" w14:textId="77777777" w:rsidR="00B00617" w:rsidRPr="00B00617" w:rsidRDefault="00B00617" w:rsidP="00B00617">
          <w:pPr>
            <w:autoSpaceDE w:val="0"/>
            <w:autoSpaceDN w:val="0"/>
            <w:ind w:hanging="480"/>
            <w:jc w:val="both"/>
            <w:divId w:val="843980816"/>
            <w:rPr>
              <w:rFonts w:eastAsia="Times New Roman"/>
              <w:color w:val="000000"/>
            </w:rPr>
          </w:pPr>
          <w:proofErr w:type="gramStart"/>
          <w:r w:rsidRPr="00B00617">
            <w:rPr>
              <w:rFonts w:eastAsia="Times New Roman"/>
              <w:color w:val="000000"/>
            </w:rPr>
            <w:t>ASEAN+3.</w:t>
          </w:r>
          <w:proofErr w:type="gramEnd"/>
          <w:r w:rsidRPr="00B00617">
            <w:rPr>
              <w:rFonts w:eastAsia="Times New Roman"/>
              <w:color w:val="000000"/>
            </w:rPr>
            <w:t xml:space="preserve"> </w:t>
          </w:r>
          <w:proofErr w:type="gramStart"/>
          <w:r w:rsidRPr="00B00617">
            <w:rPr>
              <w:rFonts w:eastAsia="Times New Roman"/>
              <w:color w:val="000000"/>
            </w:rPr>
            <w:t xml:space="preserve">(2025). </w:t>
          </w:r>
          <w:r w:rsidRPr="00B00617">
            <w:rPr>
              <w:rFonts w:eastAsia="Times New Roman"/>
              <w:i/>
              <w:iCs/>
              <w:color w:val="000000"/>
            </w:rPr>
            <w:t>Strengthening Policy Synergy for Indonesia’s Stability and Growth - ASEAN+3 Macroeconomic Research Office - AMRO ASIA</w:t>
          </w:r>
          <w:r w:rsidRPr="00B00617">
            <w:rPr>
              <w:rFonts w:eastAsia="Times New Roman"/>
              <w:color w:val="000000"/>
            </w:rPr>
            <w:t>.</w:t>
          </w:r>
          <w:proofErr w:type="gramEnd"/>
        </w:p>
        <w:p w14:paraId="3E06DC7A" w14:textId="57241056" w:rsidR="00B00617" w:rsidRPr="00B00617" w:rsidRDefault="00B00617" w:rsidP="00B00617">
          <w:pPr>
            <w:autoSpaceDE w:val="0"/>
            <w:autoSpaceDN w:val="0"/>
            <w:ind w:hanging="480"/>
            <w:jc w:val="both"/>
            <w:divId w:val="954751764"/>
            <w:rPr>
              <w:rFonts w:eastAsia="Times New Roman"/>
              <w:color w:val="000000"/>
            </w:rPr>
          </w:pPr>
          <w:proofErr w:type="gramStart"/>
          <w:r w:rsidRPr="00B00617">
            <w:rPr>
              <w:rFonts w:eastAsia="Times New Roman"/>
              <w:color w:val="000000"/>
            </w:rPr>
            <w:t>Auerbach, A. J., &amp; Gorodnichenko, Y. (2012).</w:t>
          </w:r>
          <w:proofErr w:type="gramEnd"/>
          <w:r w:rsidRPr="00B00617">
            <w:rPr>
              <w:rFonts w:eastAsia="Times New Roman"/>
              <w:color w:val="000000"/>
            </w:rPr>
            <w:t xml:space="preserve"> </w:t>
          </w:r>
          <w:proofErr w:type="gramStart"/>
          <w:r w:rsidRPr="00B00617">
            <w:rPr>
              <w:rFonts w:eastAsia="Times New Roman"/>
              <w:color w:val="000000"/>
            </w:rPr>
            <w:t>Measuring the output responses to fiscal policy.</w:t>
          </w:r>
          <w:proofErr w:type="gramEnd"/>
          <w:r w:rsidRPr="00B00617">
            <w:rPr>
              <w:rFonts w:eastAsia="Times New Roman"/>
              <w:color w:val="000000"/>
            </w:rPr>
            <w:t xml:space="preserve"> </w:t>
          </w:r>
          <w:r w:rsidRPr="00B00617">
            <w:rPr>
              <w:rFonts w:eastAsia="Times New Roman"/>
              <w:i/>
              <w:iCs/>
              <w:color w:val="000000"/>
            </w:rPr>
            <w:t>American Economic Journal: Economic Policy</w:t>
          </w:r>
          <w:r w:rsidRPr="00B00617">
            <w:rPr>
              <w:rFonts w:eastAsia="Times New Roman"/>
              <w:color w:val="000000"/>
            </w:rPr>
            <w:t xml:space="preserve">, </w:t>
          </w:r>
          <w:r w:rsidRPr="00B00617">
            <w:rPr>
              <w:rFonts w:eastAsia="Times New Roman"/>
              <w:i/>
              <w:iCs/>
              <w:color w:val="000000"/>
            </w:rPr>
            <w:t>4</w:t>
          </w:r>
          <w:r w:rsidRPr="00B00617">
            <w:rPr>
              <w:rFonts w:eastAsia="Times New Roman"/>
              <w:color w:val="000000"/>
            </w:rPr>
            <w:t xml:space="preserve">(2), 1–27. </w:t>
          </w:r>
          <w:hyperlink r:id="rId28" w:history="1">
            <w:r w:rsidR="00C213FC" w:rsidRPr="002E2C48">
              <w:rPr>
                <w:rStyle w:val="Hyperlink"/>
                <w:rFonts w:eastAsia="Times New Roman"/>
              </w:rPr>
              <w:t>https://doi.org/10.1257/pol.4.2.1</w:t>
            </w:r>
          </w:hyperlink>
          <w:r w:rsidR="00C213FC">
            <w:rPr>
              <w:rFonts w:eastAsia="Times New Roman"/>
              <w:color w:val="000000"/>
            </w:rPr>
            <w:t xml:space="preserve"> </w:t>
          </w:r>
        </w:p>
        <w:p w14:paraId="284512F5" w14:textId="083AFF6B" w:rsidR="00B00617" w:rsidRPr="00B00617" w:rsidRDefault="00B00617" w:rsidP="00B00617">
          <w:pPr>
            <w:autoSpaceDE w:val="0"/>
            <w:autoSpaceDN w:val="0"/>
            <w:ind w:hanging="480"/>
            <w:jc w:val="both"/>
            <w:divId w:val="1225948887"/>
            <w:rPr>
              <w:rFonts w:eastAsia="Times New Roman"/>
              <w:color w:val="000000"/>
            </w:rPr>
          </w:pPr>
          <w:proofErr w:type="gramStart"/>
          <w:r w:rsidRPr="00B00617">
            <w:rPr>
              <w:rFonts w:eastAsia="Times New Roman"/>
              <w:color w:val="000000"/>
            </w:rPr>
            <w:t>Banerjee, R., Caballero, J., Kharroubi, E., Spigt, R., &amp; Zakrajšek, E. (2023).</w:t>
          </w:r>
          <w:proofErr w:type="gramEnd"/>
          <w:r w:rsidRPr="00B00617">
            <w:rPr>
              <w:rFonts w:eastAsia="Times New Roman"/>
              <w:color w:val="000000"/>
            </w:rPr>
            <w:t xml:space="preserve"> </w:t>
          </w:r>
          <w:r w:rsidRPr="00B00617">
            <w:rPr>
              <w:rFonts w:eastAsia="Times New Roman"/>
              <w:i/>
              <w:iCs/>
              <w:color w:val="000000"/>
            </w:rPr>
            <w:t>BIS Bulletin No 81 Interest rate risk of non-financial firms: who hedges and does it help?</w:t>
          </w:r>
          <w:r w:rsidRPr="00B00617">
            <w:rPr>
              <w:rFonts w:eastAsia="Times New Roman"/>
              <w:color w:val="000000"/>
            </w:rPr>
            <w:t xml:space="preserve"> </w:t>
          </w:r>
          <w:hyperlink r:id="rId29" w:history="1">
            <w:r w:rsidR="00C213FC" w:rsidRPr="002E2C48">
              <w:rPr>
                <w:rStyle w:val="Hyperlink"/>
                <w:rFonts w:eastAsia="Times New Roman"/>
              </w:rPr>
              <w:t>www.bis.org</w:t>
            </w:r>
          </w:hyperlink>
          <w:r w:rsidR="00C213FC">
            <w:rPr>
              <w:rFonts w:eastAsia="Times New Roman"/>
              <w:color w:val="000000"/>
            </w:rPr>
            <w:t xml:space="preserve"> </w:t>
          </w:r>
        </w:p>
        <w:p w14:paraId="7CF50449" w14:textId="77777777" w:rsidR="00B00617" w:rsidRPr="00B00617" w:rsidRDefault="00B00617" w:rsidP="00B00617">
          <w:pPr>
            <w:autoSpaceDE w:val="0"/>
            <w:autoSpaceDN w:val="0"/>
            <w:ind w:hanging="480"/>
            <w:jc w:val="both"/>
            <w:divId w:val="1742823207"/>
            <w:rPr>
              <w:rFonts w:eastAsia="Times New Roman"/>
              <w:color w:val="000000"/>
            </w:rPr>
          </w:pPr>
          <w:proofErr w:type="gramStart"/>
          <w:r w:rsidRPr="00B00617">
            <w:rPr>
              <w:rFonts w:eastAsia="Times New Roman"/>
              <w:color w:val="000000"/>
            </w:rPr>
            <w:t>Bank Indonesia.</w:t>
          </w:r>
          <w:proofErr w:type="gramEnd"/>
          <w:r w:rsidRPr="00B00617">
            <w:rPr>
              <w:rFonts w:eastAsia="Times New Roman"/>
              <w:color w:val="000000"/>
            </w:rPr>
            <w:t xml:space="preserve"> </w:t>
          </w:r>
          <w:proofErr w:type="gramStart"/>
          <w:r w:rsidRPr="00B00617">
            <w:rPr>
              <w:rFonts w:eastAsia="Times New Roman"/>
              <w:color w:val="000000"/>
            </w:rPr>
            <w:t xml:space="preserve">(2024). </w:t>
          </w:r>
          <w:r w:rsidRPr="00B00617">
            <w:rPr>
              <w:rFonts w:eastAsia="Times New Roman"/>
              <w:i/>
              <w:iCs/>
              <w:color w:val="000000"/>
            </w:rPr>
            <w:t>Kajian Stabilitas Keuangan</w:t>
          </w:r>
          <w:r w:rsidRPr="00B00617">
            <w:rPr>
              <w:rFonts w:eastAsia="Times New Roman"/>
              <w:color w:val="000000"/>
            </w:rPr>
            <w:t>.</w:t>
          </w:r>
          <w:proofErr w:type="gramEnd"/>
          <w:r w:rsidRPr="00B00617">
            <w:rPr>
              <w:rFonts w:eastAsia="Times New Roman"/>
              <w:color w:val="000000"/>
            </w:rPr>
            <w:t xml:space="preserve"> (43).</w:t>
          </w:r>
        </w:p>
        <w:p w14:paraId="5EB26911" w14:textId="77777777" w:rsidR="00B00617" w:rsidRPr="00B00617" w:rsidRDefault="00B00617" w:rsidP="00B00617">
          <w:pPr>
            <w:autoSpaceDE w:val="0"/>
            <w:autoSpaceDN w:val="0"/>
            <w:ind w:hanging="480"/>
            <w:jc w:val="both"/>
            <w:divId w:val="520702362"/>
            <w:rPr>
              <w:rFonts w:eastAsia="Times New Roman"/>
              <w:color w:val="000000"/>
            </w:rPr>
          </w:pPr>
          <w:r w:rsidRPr="00B00617">
            <w:rPr>
              <w:rFonts w:eastAsia="Times New Roman"/>
              <w:color w:val="000000"/>
            </w:rPr>
            <w:t xml:space="preserve">Barro, R. J. (1988). </w:t>
          </w:r>
          <w:proofErr w:type="gramStart"/>
          <w:r w:rsidRPr="00B00617">
            <w:rPr>
              <w:rFonts w:eastAsia="Times New Roman"/>
              <w:i/>
              <w:iCs/>
              <w:color w:val="000000"/>
            </w:rPr>
            <w:t>NBER WORKING PAPER SERIES GOVERNMENT SPENDING IN A SIMPLE MODEL OF ENDOGENOUS GROWTH</w:t>
          </w:r>
          <w:r w:rsidRPr="00B00617">
            <w:rPr>
              <w:rFonts w:eastAsia="Times New Roman"/>
              <w:color w:val="000000"/>
            </w:rPr>
            <w:t>.</w:t>
          </w:r>
          <w:proofErr w:type="gramEnd"/>
        </w:p>
        <w:p w14:paraId="7D759773" w14:textId="77777777" w:rsidR="00B00617" w:rsidRPr="00B00617" w:rsidRDefault="00B00617" w:rsidP="00B00617">
          <w:pPr>
            <w:autoSpaceDE w:val="0"/>
            <w:autoSpaceDN w:val="0"/>
            <w:ind w:hanging="480"/>
            <w:jc w:val="both"/>
            <w:divId w:val="2069768674"/>
            <w:rPr>
              <w:rFonts w:eastAsia="Times New Roman"/>
              <w:color w:val="000000"/>
            </w:rPr>
          </w:pPr>
          <w:proofErr w:type="gramStart"/>
          <w:r w:rsidRPr="00B00617">
            <w:rPr>
              <w:rFonts w:eastAsia="Times New Roman"/>
              <w:color w:val="000000"/>
            </w:rPr>
            <w:t>Beranke, F., &amp; Blirder, A. (1990).</w:t>
          </w:r>
          <w:proofErr w:type="gramEnd"/>
          <w:r w:rsidRPr="00B00617">
            <w:rPr>
              <w:rFonts w:eastAsia="Times New Roman"/>
              <w:color w:val="000000"/>
            </w:rPr>
            <w:t xml:space="preserve"> </w:t>
          </w:r>
          <w:r w:rsidRPr="00B00617">
            <w:rPr>
              <w:rFonts w:eastAsia="Times New Roman"/>
              <w:i/>
              <w:iCs/>
              <w:color w:val="000000"/>
            </w:rPr>
            <w:t>The Federal Funds Rate and The Channelsof Monetary Transmission</w:t>
          </w:r>
          <w:r w:rsidRPr="00B00617">
            <w:rPr>
              <w:rFonts w:eastAsia="Times New Roman"/>
              <w:color w:val="000000"/>
            </w:rPr>
            <w:t>.</w:t>
          </w:r>
        </w:p>
        <w:p w14:paraId="234014A9" w14:textId="1D56A96F" w:rsidR="00B00617" w:rsidRPr="00B00617" w:rsidRDefault="00B00617" w:rsidP="00B00617">
          <w:pPr>
            <w:autoSpaceDE w:val="0"/>
            <w:autoSpaceDN w:val="0"/>
            <w:ind w:hanging="480"/>
            <w:jc w:val="both"/>
            <w:divId w:val="1946496150"/>
            <w:rPr>
              <w:rFonts w:eastAsia="Times New Roman"/>
              <w:color w:val="000000"/>
            </w:rPr>
          </w:pPr>
          <w:proofErr w:type="gramStart"/>
          <w:r w:rsidRPr="00B00617">
            <w:rPr>
              <w:rFonts w:eastAsia="Times New Roman"/>
              <w:color w:val="000000"/>
            </w:rPr>
            <w:t>Blanchard, O., &amp; Perotti, R. (2002).</w:t>
          </w:r>
          <w:proofErr w:type="gramEnd"/>
          <w:r w:rsidRPr="00B00617">
            <w:rPr>
              <w:rFonts w:eastAsia="Times New Roman"/>
              <w:color w:val="000000"/>
            </w:rPr>
            <w:t xml:space="preserve"> </w:t>
          </w:r>
          <w:proofErr w:type="gramStart"/>
          <w:r w:rsidRPr="00B00617">
            <w:rPr>
              <w:rFonts w:eastAsia="Times New Roman"/>
              <w:color w:val="000000"/>
            </w:rPr>
            <w:t>An empirical characterization of the dynamic effects of changes in government spending and taxes on output.</w:t>
          </w:r>
          <w:proofErr w:type="gramEnd"/>
          <w:r w:rsidRPr="00B00617">
            <w:rPr>
              <w:rFonts w:eastAsia="Times New Roman"/>
              <w:color w:val="000000"/>
            </w:rPr>
            <w:t xml:space="preserve"> </w:t>
          </w:r>
          <w:r w:rsidRPr="00B00617">
            <w:rPr>
              <w:rFonts w:eastAsia="Times New Roman"/>
              <w:i/>
              <w:iCs/>
              <w:color w:val="000000"/>
            </w:rPr>
            <w:t>Quarterly Journal of Economics</w:t>
          </w:r>
          <w:r w:rsidRPr="00B00617">
            <w:rPr>
              <w:rFonts w:eastAsia="Times New Roman"/>
              <w:color w:val="000000"/>
            </w:rPr>
            <w:t xml:space="preserve">, </w:t>
          </w:r>
          <w:r w:rsidRPr="00B00617">
            <w:rPr>
              <w:rFonts w:eastAsia="Times New Roman"/>
              <w:i/>
              <w:iCs/>
              <w:color w:val="000000"/>
            </w:rPr>
            <w:t>117</w:t>
          </w:r>
          <w:r w:rsidRPr="00B00617">
            <w:rPr>
              <w:rFonts w:eastAsia="Times New Roman"/>
              <w:color w:val="000000"/>
            </w:rPr>
            <w:t xml:space="preserve">(4), 1329–1368. </w:t>
          </w:r>
          <w:hyperlink r:id="rId30" w:history="1">
            <w:r w:rsidR="00C213FC" w:rsidRPr="002E2C48">
              <w:rPr>
                <w:rStyle w:val="Hyperlink"/>
                <w:rFonts w:eastAsia="Times New Roman"/>
              </w:rPr>
              <w:t>https://doi.org/10.1162/003355302320935043</w:t>
            </w:r>
          </w:hyperlink>
          <w:r w:rsidR="00C213FC">
            <w:rPr>
              <w:rFonts w:eastAsia="Times New Roman"/>
              <w:color w:val="000000"/>
            </w:rPr>
            <w:t xml:space="preserve"> </w:t>
          </w:r>
        </w:p>
        <w:p w14:paraId="6C6550DD" w14:textId="77777777" w:rsidR="00B00617" w:rsidRPr="00B00617" w:rsidRDefault="00B00617" w:rsidP="00B00617">
          <w:pPr>
            <w:autoSpaceDE w:val="0"/>
            <w:autoSpaceDN w:val="0"/>
            <w:ind w:hanging="480"/>
            <w:jc w:val="both"/>
            <w:divId w:val="1277828281"/>
            <w:rPr>
              <w:rFonts w:eastAsia="Times New Roman"/>
              <w:color w:val="000000"/>
            </w:rPr>
          </w:pPr>
          <w:r w:rsidRPr="00B00617">
            <w:rPr>
              <w:rFonts w:eastAsia="Times New Roman"/>
              <w:color w:val="000000"/>
            </w:rPr>
            <w:t xml:space="preserve">Blomqvist, N. (1950). </w:t>
          </w:r>
          <w:proofErr w:type="gramStart"/>
          <w:r w:rsidRPr="00B00617">
            <w:rPr>
              <w:rFonts w:eastAsia="Times New Roman"/>
              <w:color w:val="000000"/>
            </w:rPr>
            <w:t>On a Measure of Dependence Between two Random Variables.</w:t>
          </w:r>
          <w:proofErr w:type="gramEnd"/>
          <w:r w:rsidRPr="00B00617">
            <w:rPr>
              <w:rFonts w:eastAsia="Times New Roman"/>
              <w:color w:val="000000"/>
            </w:rPr>
            <w:t xml:space="preserve"> </w:t>
          </w:r>
          <w:proofErr w:type="gramStart"/>
          <w:r w:rsidRPr="00B00617">
            <w:rPr>
              <w:rFonts w:eastAsia="Times New Roman"/>
              <w:i/>
              <w:iCs/>
              <w:color w:val="000000"/>
            </w:rPr>
            <w:t>JSTOR</w:t>
          </w:r>
          <w:r w:rsidRPr="00B00617">
            <w:rPr>
              <w:rFonts w:eastAsia="Times New Roman"/>
              <w:color w:val="000000"/>
            </w:rPr>
            <w:t xml:space="preserve">, </w:t>
          </w:r>
          <w:r w:rsidRPr="00B00617">
            <w:rPr>
              <w:rFonts w:eastAsia="Times New Roman"/>
              <w:i/>
              <w:iCs/>
              <w:color w:val="000000"/>
            </w:rPr>
            <w:t>21</w:t>
          </w:r>
          <w:r w:rsidRPr="00B00617">
            <w:rPr>
              <w:rFonts w:eastAsia="Times New Roman"/>
              <w:color w:val="000000"/>
            </w:rPr>
            <w:t>(4).</w:t>
          </w:r>
          <w:proofErr w:type="gramEnd"/>
        </w:p>
        <w:p w14:paraId="05DC1457" w14:textId="77777777" w:rsidR="00B00617" w:rsidRPr="00B00617" w:rsidRDefault="00B00617" w:rsidP="00B00617">
          <w:pPr>
            <w:autoSpaceDE w:val="0"/>
            <w:autoSpaceDN w:val="0"/>
            <w:ind w:hanging="480"/>
            <w:jc w:val="both"/>
            <w:divId w:val="1571188686"/>
            <w:rPr>
              <w:rFonts w:eastAsia="Times New Roman"/>
              <w:color w:val="000000"/>
            </w:rPr>
          </w:pPr>
          <w:r w:rsidRPr="00B00617">
            <w:rPr>
              <w:rFonts w:eastAsia="Times New Roman"/>
              <w:color w:val="000000"/>
            </w:rPr>
            <w:t xml:space="preserve">Bolhuis, M. A., Das, S., &amp; Yao, B. (2024). </w:t>
          </w:r>
          <w:r w:rsidRPr="00B00617">
            <w:rPr>
              <w:rFonts w:eastAsia="Times New Roman"/>
              <w:i/>
              <w:iCs/>
              <w:color w:val="000000"/>
            </w:rPr>
            <w:t>A New Dataset of High-Frequency Monetary Policy Shocks, WP/24/224, October 2024</w:t>
          </w:r>
          <w:r w:rsidRPr="00B00617">
            <w:rPr>
              <w:rFonts w:eastAsia="Times New Roman"/>
              <w:color w:val="000000"/>
            </w:rPr>
            <w:t>.</w:t>
          </w:r>
        </w:p>
        <w:p w14:paraId="6705105D" w14:textId="36C7D6B8" w:rsidR="00B00617" w:rsidRPr="00B00617" w:rsidRDefault="00B00617" w:rsidP="00B00617">
          <w:pPr>
            <w:autoSpaceDE w:val="0"/>
            <w:autoSpaceDN w:val="0"/>
            <w:ind w:hanging="480"/>
            <w:jc w:val="both"/>
            <w:divId w:val="788087753"/>
            <w:rPr>
              <w:rFonts w:eastAsia="Times New Roman"/>
              <w:color w:val="000000"/>
            </w:rPr>
          </w:pPr>
          <w:proofErr w:type="gramStart"/>
          <w:r w:rsidRPr="00B00617">
            <w:rPr>
              <w:rFonts w:eastAsia="Times New Roman"/>
              <w:color w:val="000000"/>
            </w:rPr>
            <w:t>Checo, A., Grigoli, F., &amp; Sandri, D. (2024).</w:t>
          </w:r>
          <w:proofErr w:type="gramEnd"/>
          <w:r w:rsidRPr="00B00617">
            <w:rPr>
              <w:rFonts w:eastAsia="Times New Roman"/>
              <w:color w:val="000000"/>
            </w:rPr>
            <w:t xml:space="preserve"> </w:t>
          </w:r>
          <w:r w:rsidRPr="00B00617">
            <w:rPr>
              <w:rFonts w:eastAsia="Times New Roman"/>
              <w:i/>
              <w:iCs/>
              <w:color w:val="000000"/>
            </w:rPr>
            <w:t>Monetary policy transmission in emerging markets: proverbial concerns, novel evidence</w:t>
          </w:r>
          <w:r w:rsidRPr="00B00617">
            <w:rPr>
              <w:rFonts w:eastAsia="Times New Roman"/>
              <w:color w:val="000000"/>
            </w:rPr>
            <w:t xml:space="preserve">. </w:t>
          </w:r>
          <w:hyperlink r:id="rId31" w:history="1">
            <w:r w:rsidR="00C213FC" w:rsidRPr="002E2C48">
              <w:rPr>
                <w:rStyle w:val="Hyperlink"/>
                <w:rFonts w:eastAsia="Times New Roman"/>
              </w:rPr>
              <w:t>www.bis.org</w:t>
            </w:r>
          </w:hyperlink>
          <w:r w:rsidR="00C213FC">
            <w:rPr>
              <w:rFonts w:eastAsia="Times New Roman"/>
              <w:color w:val="000000"/>
            </w:rPr>
            <w:t xml:space="preserve"> </w:t>
          </w:r>
        </w:p>
        <w:p w14:paraId="4851B9EB" w14:textId="77777777" w:rsidR="00B00617" w:rsidRPr="00B00617" w:rsidRDefault="00B00617" w:rsidP="00B00617">
          <w:pPr>
            <w:autoSpaceDE w:val="0"/>
            <w:autoSpaceDN w:val="0"/>
            <w:ind w:hanging="480"/>
            <w:jc w:val="both"/>
            <w:divId w:val="1112237770"/>
            <w:rPr>
              <w:rFonts w:eastAsia="Times New Roman"/>
              <w:color w:val="000000"/>
            </w:rPr>
          </w:pPr>
          <w:proofErr w:type="gramStart"/>
          <w:r w:rsidRPr="00B00617">
            <w:rPr>
              <w:rFonts w:eastAsia="Times New Roman"/>
              <w:color w:val="000000"/>
            </w:rPr>
            <w:t>Chen, J., Dabla-Norris, E., Goncalves, C., Jakab, Z. M., &amp; Lindé, J. (2023).</w:t>
          </w:r>
          <w:proofErr w:type="gramEnd"/>
          <w:r w:rsidRPr="00B00617">
            <w:rPr>
              <w:rFonts w:eastAsia="Times New Roman"/>
              <w:color w:val="000000"/>
            </w:rPr>
            <w:t xml:space="preserve"> </w:t>
          </w:r>
          <w:r w:rsidRPr="00B00617">
            <w:rPr>
              <w:rFonts w:eastAsia="Times New Roman"/>
              <w:i/>
              <w:iCs/>
              <w:color w:val="000000"/>
            </w:rPr>
            <w:t>Can Fiscal Consolidation help Central Banks’ Fight Inflation</w:t>
          </w:r>
          <w:proofErr w:type="gramStart"/>
          <w:r w:rsidRPr="00B00617">
            <w:rPr>
              <w:rFonts w:eastAsia="Times New Roman"/>
              <w:i/>
              <w:iCs/>
              <w:color w:val="000000"/>
            </w:rPr>
            <w:t>?,</w:t>
          </w:r>
          <w:proofErr w:type="gramEnd"/>
          <w:r w:rsidRPr="00B00617">
            <w:rPr>
              <w:rFonts w:eastAsia="Times New Roman"/>
              <w:i/>
              <w:iCs/>
              <w:color w:val="000000"/>
            </w:rPr>
            <w:t xml:space="preserve"> WP/23/260, December 2023</w:t>
          </w:r>
          <w:r w:rsidRPr="00B00617">
            <w:rPr>
              <w:rFonts w:eastAsia="Times New Roman"/>
              <w:color w:val="000000"/>
            </w:rPr>
            <w:t>.</w:t>
          </w:r>
        </w:p>
        <w:p w14:paraId="02564910" w14:textId="36A33B27" w:rsidR="00B00617" w:rsidRPr="00B00617" w:rsidRDefault="00B00617" w:rsidP="00B00617">
          <w:pPr>
            <w:autoSpaceDE w:val="0"/>
            <w:autoSpaceDN w:val="0"/>
            <w:ind w:hanging="480"/>
            <w:jc w:val="both"/>
            <w:divId w:val="1194271050"/>
            <w:rPr>
              <w:rFonts w:eastAsia="Times New Roman"/>
              <w:color w:val="000000"/>
            </w:rPr>
          </w:pPr>
          <w:proofErr w:type="gramStart"/>
          <w:r w:rsidRPr="00B00617">
            <w:rPr>
              <w:rFonts w:eastAsia="Times New Roman"/>
              <w:color w:val="000000"/>
            </w:rPr>
            <w:t>Clarida, R., Galí, J., &amp; Gertler, M. (1999).</w:t>
          </w:r>
          <w:proofErr w:type="gramEnd"/>
          <w:r w:rsidRPr="00B00617">
            <w:rPr>
              <w:rFonts w:eastAsia="Times New Roman"/>
              <w:color w:val="000000"/>
            </w:rPr>
            <w:t xml:space="preserve"> The science of monetary policy: A new Keynesian perspective. </w:t>
          </w:r>
          <w:r w:rsidRPr="00B00617">
            <w:rPr>
              <w:rFonts w:eastAsia="Times New Roman"/>
              <w:i/>
              <w:iCs/>
              <w:color w:val="000000"/>
            </w:rPr>
            <w:t>Journal of Economic Literature</w:t>
          </w:r>
          <w:r w:rsidRPr="00B00617">
            <w:rPr>
              <w:rFonts w:eastAsia="Times New Roman"/>
              <w:color w:val="000000"/>
            </w:rPr>
            <w:t xml:space="preserve">, </w:t>
          </w:r>
          <w:r w:rsidRPr="00B00617">
            <w:rPr>
              <w:rFonts w:eastAsia="Times New Roman"/>
              <w:i/>
              <w:iCs/>
              <w:color w:val="000000"/>
            </w:rPr>
            <w:t>37</w:t>
          </w:r>
          <w:r w:rsidRPr="00B00617">
            <w:rPr>
              <w:rFonts w:eastAsia="Times New Roman"/>
              <w:color w:val="000000"/>
            </w:rPr>
            <w:t xml:space="preserve">(4), 1661–1707. </w:t>
          </w:r>
          <w:hyperlink r:id="rId32" w:history="1">
            <w:r w:rsidR="00C213FC" w:rsidRPr="002E2C48">
              <w:rPr>
                <w:rStyle w:val="Hyperlink"/>
                <w:rFonts w:eastAsia="Times New Roman"/>
              </w:rPr>
              <w:t>https://doi.org/10.1257/jel.37.4.1661</w:t>
            </w:r>
          </w:hyperlink>
          <w:r w:rsidR="00C213FC">
            <w:rPr>
              <w:rFonts w:eastAsia="Times New Roman"/>
              <w:color w:val="000000"/>
            </w:rPr>
            <w:t xml:space="preserve"> </w:t>
          </w:r>
        </w:p>
        <w:p w14:paraId="433D9260" w14:textId="5CD9C788" w:rsidR="00B00617" w:rsidRPr="00B00617" w:rsidRDefault="00B00617" w:rsidP="00B00617">
          <w:pPr>
            <w:autoSpaceDE w:val="0"/>
            <w:autoSpaceDN w:val="0"/>
            <w:ind w:hanging="480"/>
            <w:jc w:val="both"/>
            <w:divId w:val="586306486"/>
            <w:rPr>
              <w:rFonts w:eastAsia="Times New Roman"/>
              <w:color w:val="000000"/>
            </w:rPr>
          </w:pPr>
          <w:proofErr w:type="gramStart"/>
          <w:r w:rsidRPr="00B00617">
            <w:rPr>
              <w:rFonts w:eastAsia="Times New Roman"/>
              <w:color w:val="000000"/>
            </w:rPr>
            <w:t>Cornelli, G., Erdem, M., &amp; Zakrajšek, E. (2024).</w:t>
          </w:r>
          <w:proofErr w:type="gramEnd"/>
          <w:r w:rsidRPr="00B00617">
            <w:rPr>
              <w:rFonts w:eastAsia="Times New Roman"/>
              <w:color w:val="000000"/>
            </w:rPr>
            <w:t xml:space="preserve"> </w:t>
          </w:r>
          <w:r w:rsidRPr="00B00617">
            <w:rPr>
              <w:rFonts w:eastAsia="Times New Roman"/>
              <w:i/>
              <w:iCs/>
              <w:color w:val="000000"/>
            </w:rPr>
            <w:t xml:space="preserve">BIS Working Papers No 1190 CEO turnover risk and firm environmental </w:t>
          </w:r>
          <w:proofErr w:type="gramStart"/>
          <w:r w:rsidRPr="00B00617">
            <w:rPr>
              <w:rFonts w:eastAsia="Times New Roman"/>
              <w:i/>
              <w:iCs/>
              <w:color w:val="000000"/>
            </w:rPr>
            <w:t>performance</w:t>
          </w:r>
          <w:proofErr w:type="gramEnd"/>
          <w:r w:rsidRPr="00B00617">
            <w:rPr>
              <w:rFonts w:eastAsia="Times New Roman"/>
              <w:color w:val="000000"/>
            </w:rPr>
            <w:t xml:space="preserve">. </w:t>
          </w:r>
          <w:hyperlink r:id="rId33" w:history="1">
            <w:r w:rsidR="00C213FC" w:rsidRPr="002E2C48">
              <w:rPr>
                <w:rStyle w:val="Hyperlink"/>
                <w:rFonts w:eastAsia="Times New Roman"/>
              </w:rPr>
              <w:t>www.bis.org</w:t>
            </w:r>
          </w:hyperlink>
          <w:r w:rsidR="00C213FC">
            <w:rPr>
              <w:rFonts w:eastAsia="Times New Roman"/>
              <w:color w:val="000000"/>
            </w:rPr>
            <w:t xml:space="preserve"> </w:t>
          </w:r>
        </w:p>
        <w:p w14:paraId="2C25431F" w14:textId="31E37856" w:rsidR="00B00617" w:rsidRPr="00B00617" w:rsidRDefault="00B00617" w:rsidP="00B00617">
          <w:pPr>
            <w:autoSpaceDE w:val="0"/>
            <w:autoSpaceDN w:val="0"/>
            <w:ind w:hanging="480"/>
            <w:jc w:val="both"/>
            <w:divId w:val="922104669"/>
            <w:rPr>
              <w:rFonts w:eastAsia="Times New Roman"/>
              <w:color w:val="000000"/>
            </w:rPr>
          </w:pPr>
          <w:r w:rsidRPr="00B00617">
            <w:rPr>
              <w:rFonts w:eastAsia="Times New Roman"/>
              <w:color w:val="000000"/>
            </w:rPr>
            <w:t xml:space="preserve">Crump, R. K., Eusepi, S., Giannoni, M., &amp; Şahin, A. (2024). The unemployment–inflation trade-off revisited: The Phillips curve in COVID times. </w:t>
          </w:r>
          <w:proofErr w:type="gramStart"/>
          <w:r w:rsidRPr="00B00617">
            <w:rPr>
              <w:rFonts w:eastAsia="Times New Roman"/>
              <w:i/>
              <w:iCs/>
              <w:color w:val="000000"/>
            </w:rPr>
            <w:t>Journal of Monetary Economics</w:t>
          </w:r>
          <w:r w:rsidRPr="00B00617">
            <w:rPr>
              <w:rFonts w:eastAsia="Times New Roman"/>
              <w:color w:val="000000"/>
            </w:rPr>
            <w:t xml:space="preserve">, </w:t>
          </w:r>
          <w:r w:rsidRPr="00B00617">
            <w:rPr>
              <w:rFonts w:eastAsia="Times New Roman"/>
              <w:i/>
              <w:iCs/>
              <w:color w:val="000000"/>
            </w:rPr>
            <w:t>145</w:t>
          </w:r>
          <w:r w:rsidRPr="00B00617">
            <w:rPr>
              <w:rFonts w:eastAsia="Times New Roman"/>
              <w:color w:val="000000"/>
            </w:rPr>
            <w:t>.</w:t>
          </w:r>
          <w:proofErr w:type="gramEnd"/>
          <w:r w:rsidRPr="00B00617">
            <w:rPr>
              <w:rFonts w:eastAsia="Times New Roman"/>
              <w:color w:val="000000"/>
            </w:rPr>
            <w:t xml:space="preserve"> </w:t>
          </w:r>
          <w:hyperlink r:id="rId34" w:history="1">
            <w:r w:rsidR="00C213FC" w:rsidRPr="002E2C48">
              <w:rPr>
                <w:rStyle w:val="Hyperlink"/>
                <w:rFonts w:eastAsia="Times New Roman"/>
              </w:rPr>
              <w:t>https://doi.org/10.1016/j.jmoneco.2024.103580</w:t>
            </w:r>
          </w:hyperlink>
          <w:r w:rsidR="00C213FC">
            <w:rPr>
              <w:rFonts w:eastAsia="Times New Roman"/>
              <w:color w:val="000000"/>
            </w:rPr>
            <w:t xml:space="preserve"> </w:t>
          </w:r>
        </w:p>
        <w:p w14:paraId="2C8CC95D" w14:textId="77777777" w:rsidR="00B00617" w:rsidRPr="00B00617" w:rsidRDefault="00B00617" w:rsidP="00B00617">
          <w:pPr>
            <w:autoSpaceDE w:val="0"/>
            <w:autoSpaceDN w:val="0"/>
            <w:ind w:hanging="480"/>
            <w:jc w:val="both"/>
            <w:divId w:val="2031057644"/>
            <w:rPr>
              <w:rFonts w:eastAsia="Times New Roman"/>
              <w:color w:val="000000"/>
            </w:rPr>
          </w:pPr>
          <w:r w:rsidRPr="00B00617">
            <w:rPr>
              <w:rFonts w:eastAsia="Times New Roman"/>
              <w:color w:val="000000"/>
            </w:rPr>
            <w:t xml:space="preserve">Dornbusch, R. (1976). </w:t>
          </w:r>
          <w:proofErr w:type="gramStart"/>
          <w:r w:rsidRPr="00B00617">
            <w:rPr>
              <w:rFonts w:eastAsia="Times New Roman"/>
              <w:color w:val="000000"/>
            </w:rPr>
            <w:t>Expectations and Exchange Rate Dynamics.</w:t>
          </w:r>
          <w:proofErr w:type="gramEnd"/>
          <w:r w:rsidRPr="00B00617">
            <w:rPr>
              <w:rFonts w:eastAsia="Times New Roman"/>
              <w:color w:val="000000"/>
            </w:rPr>
            <w:t xml:space="preserve"> </w:t>
          </w:r>
          <w:proofErr w:type="gramStart"/>
          <w:r w:rsidRPr="00B00617">
            <w:rPr>
              <w:rFonts w:eastAsia="Times New Roman"/>
              <w:i/>
              <w:iCs/>
              <w:color w:val="000000"/>
            </w:rPr>
            <w:t>Journal of Political Economy</w:t>
          </w:r>
          <w:r w:rsidRPr="00B00617">
            <w:rPr>
              <w:rFonts w:eastAsia="Times New Roman"/>
              <w:color w:val="000000"/>
            </w:rPr>
            <w:t xml:space="preserve">, </w:t>
          </w:r>
          <w:r w:rsidRPr="00B00617">
            <w:rPr>
              <w:rFonts w:eastAsia="Times New Roman"/>
              <w:i/>
              <w:iCs/>
              <w:color w:val="000000"/>
            </w:rPr>
            <w:t>84</w:t>
          </w:r>
          <w:r w:rsidRPr="00B00617">
            <w:rPr>
              <w:rFonts w:eastAsia="Times New Roman"/>
              <w:color w:val="000000"/>
            </w:rPr>
            <w:t>(6).</w:t>
          </w:r>
          <w:proofErr w:type="gramEnd"/>
        </w:p>
        <w:p w14:paraId="3015CB1B" w14:textId="5C6E525E" w:rsidR="00B00617" w:rsidRPr="00B00617" w:rsidRDefault="00B00617" w:rsidP="00B00617">
          <w:pPr>
            <w:autoSpaceDE w:val="0"/>
            <w:autoSpaceDN w:val="0"/>
            <w:ind w:hanging="480"/>
            <w:jc w:val="both"/>
            <w:divId w:val="718672247"/>
            <w:rPr>
              <w:rFonts w:eastAsia="Times New Roman"/>
              <w:color w:val="000000"/>
            </w:rPr>
          </w:pPr>
          <w:proofErr w:type="gramStart"/>
          <w:r w:rsidRPr="00B00617">
            <w:rPr>
              <w:rFonts w:eastAsia="Times New Roman"/>
              <w:color w:val="000000"/>
            </w:rPr>
            <w:t>Galati, G., &amp; Moessner, R. (2011).</w:t>
          </w:r>
          <w:proofErr w:type="gramEnd"/>
          <w:r w:rsidRPr="00B00617">
            <w:rPr>
              <w:rFonts w:eastAsia="Times New Roman"/>
              <w:color w:val="000000"/>
            </w:rPr>
            <w:t xml:space="preserve"> </w:t>
          </w:r>
          <w:r w:rsidRPr="00B00617">
            <w:rPr>
              <w:rFonts w:eastAsia="Times New Roman"/>
              <w:i/>
              <w:iCs/>
              <w:color w:val="000000"/>
            </w:rPr>
            <w:t>BIS Working Papers Macroprudential policy-a literature review</w:t>
          </w:r>
          <w:r w:rsidRPr="00B00617">
            <w:rPr>
              <w:rFonts w:eastAsia="Times New Roman"/>
              <w:color w:val="000000"/>
            </w:rPr>
            <w:t xml:space="preserve">. </w:t>
          </w:r>
          <w:hyperlink r:id="rId35" w:history="1">
            <w:r w:rsidR="00C213FC" w:rsidRPr="002E2C48">
              <w:rPr>
                <w:rStyle w:val="Hyperlink"/>
                <w:rFonts w:eastAsia="Times New Roman"/>
              </w:rPr>
              <w:t>www.bis.org</w:t>
            </w:r>
          </w:hyperlink>
          <w:r w:rsidR="00C213FC">
            <w:rPr>
              <w:rFonts w:eastAsia="Times New Roman"/>
              <w:color w:val="000000"/>
            </w:rPr>
            <w:t xml:space="preserve"> </w:t>
          </w:r>
        </w:p>
        <w:p w14:paraId="4F1D87E0" w14:textId="5DB3A2B9" w:rsidR="00B00617" w:rsidRPr="00B00617" w:rsidRDefault="00B00617" w:rsidP="00B00617">
          <w:pPr>
            <w:autoSpaceDE w:val="0"/>
            <w:autoSpaceDN w:val="0"/>
            <w:ind w:hanging="480"/>
            <w:jc w:val="both"/>
            <w:divId w:val="1989507575"/>
            <w:rPr>
              <w:rFonts w:eastAsia="Times New Roman"/>
              <w:color w:val="000000"/>
            </w:rPr>
          </w:pPr>
          <w:proofErr w:type="gramStart"/>
          <w:r w:rsidRPr="00B00617">
            <w:rPr>
              <w:rFonts w:eastAsia="Times New Roman"/>
              <w:color w:val="000000"/>
            </w:rPr>
            <w:lastRenderedPageBreak/>
            <w:t>Gargiulo, V., Matthes, C., &amp; Petrova, K. (2025).</w:t>
          </w:r>
          <w:proofErr w:type="gramEnd"/>
          <w:r w:rsidRPr="00B00617">
            <w:rPr>
              <w:rFonts w:eastAsia="Times New Roman"/>
              <w:color w:val="000000"/>
            </w:rPr>
            <w:t xml:space="preserve"> </w:t>
          </w:r>
          <w:proofErr w:type="gramStart"/>
          <w:r w:rsidRPr="00B00617">
            <w:rPr>
              <w:rFonts w:eastAsia="Times New Roman"/>
              <w:color w:val="000000"/>
            </w:rPr>
            <w:t>Monetary policy across inflation regimes.</w:t>
          </w:r>
          <w:proofErr w:type="gramEnd"/>
          <w:r w:rsidRPr="00B00617">
            <w:rPr>
              <w:rFonts w:eastAsia="Times New Roman"/>
              <w:color w:val="000000"/>
            </w:rPr>
            <w:t xml:space="preserve"> </w:t>
          </w:r>
          <w:proofErr w:type="gramStart"/>
          <w:r w:rsidRPr="00B00617">
            <w:rPr>
              <w:rFonts w:eastAsia="Times New Roman"/>
              <w:i/>
              <w:iCs/>
              <w:color w:val="000000"/>
            </w:rPr>
            <w:t>European Economic Review</w:t>
          </w:r>
          <w:r w:rsidRPr="00B00617">
            <w:rPr>
              <w:rFonts w:eastAsia="Times New Roman"/>
              <w:color w:val="000000"/>
            </w:rPr>
            <w:t xml:space="preserve">, </w:t>
          </w:r>
          <w:r w:rsidRPr="00B00617">
            <w:rPr>
              <w:rFonts w:eastAsia="Times New Roman"/>
              <w:i/>
              <w:iCs/>
              <w:color w:val="000000"/>
            </w:rPr>
            <w:t>178</w:t>
          </w:r>
          <w:r w:rsidRPr="00B00617">
            <w:rPr>
              <w:rFonts w:eastAsia="Times New Roman"/>
              <w:color w:val="000000"/>
            </w:rPr>
            <w:t>.</w:t>
          </w:r>
          <w:proofErr w:type="gramEnd"/>
          <w:r w:rsidRPr="00B00617">
            <w:rPr>
              <w:rFonts w:eastAsia="Times New Roman"/>
              <w:color w:val="000000"/>
            </w:rPr>
            <w:t xml:space="preserve"> </w:t>
          </w:r>
          <w:hyperlink r:id="rId36" w:history="1">
            <w:r w:rsidR="00C213FC" w:rsidRPr="002E2C48">
              <w:rPr>
                <w:rStyle w:val="Hyperlink"/>
                <w:rFonts w:eastAsia="Times New Roman"/>
              </w:rPr>
              <w:t>https://doi.org/10.1016/j.euroecorev.2025.105109</w:t>
            </w:r>
          </w:hyperlink>
          <w:r w:rsidR="00C213FC">
            <w:rPr>
              <w:rFonts w:eastAsia="Times New Roman"/>
              <w:color w:val="000000"/>
            </w:rPr>
            <w:t xml:space="preserve"> </w:t>
          </w:r>
        </w:p>
        <w:p w14:paraId="3AF277A3" w14:textId="77777777" w:rsidR="00B00617" w:rsidRPr="00B00617" w:rsidRDefault="00B00617" w:rsidP="00B00617">
          <w:pPr>
            <w:autoSpaceDE w:val="0"/>
            <w:autoSpaceDN w:val="0"/>
            <w:ind w:hanging="480"/>
            <w:jc w:val="both"/>
            <w:divId w:val="1880706696"/>
            <w:rPr>
              <w:rFonts w:eastAsia="Times New Roman"/>
              <w:color w:val="000000"/>
            </w:rPr>
          </w:pPr>
          <w:proofErr w:type="gramStart"/>
          <w:r w:rsidRPr="00B00617">
            <w:rPr>
              <w:rFonts w:eastAsia="Times New Roman"/>
              <w:color w:val="000000"/>
            </w:rPr>
            <w:t>IMF.</w:t>
          </w:r>
          <w:proofErr w:type="gramEnd"/>
          <w:r w:rsidRPr="00B00617">
            <w:rPr>
              <w:rFonts w:eastAsia="Times New Roman"/>
              <w:color w:val="000000"/>
            </w:rPr>
            <w:t xml:space="preserve"> </w:t>
          </w:r>
          <w:proofErr w:type="gramStart"/>
          <w:r w:rsidRPr="00B00617">
            <w:rPr>
              <w:rFonts w:eastAsia="Times New Roman"/>
              <w:color w:val="000000"/>
            </w:rPr>
            <w:t xml:space="preserve">(2022). </w:t>
          </w:r>
          <w:r w:rsidRPr="00B00617">
            <w:rPr>
              <w:rFonts w:eastAsia="Times New Roman"/>
              <w:i/>
              <w:iCs/>
              <w:color w:val="000000"/>
            </w:rPr>
            <w:t>GLOBAL FINANCIAL STABILITY REPORT Navigating the High-Inflation Environment</w:t>
          </w:r>
          <w:r w:rsidRPr="00B00617">
            <w:rPr>
              <w:rFonts w:eastAsia="Times New Roman"/>
              <w:color w:val="000000"/>
            </w:rPr>
            <w:t>.</w:t>
          </w:r>
          <w:proofErr w:type="gramEnd"/>
        </w:p>
        <w:p w14:paraId="02E48B33" w14:textId="441D80B5" w:rsidR="00B00617" w:rsidRPr="00B00617" w:rsidRDefault="00B00617" w:rsidP="00B00617">
          <w:pPr>
            <w:autoSpaceDE w:val="0"/>
            <w:autoSpaceDN w:val="0"/>
            <w:ind w:hanging="480"/>
            <w:jc w:val="both"/>
            <w:divId w:val="268973332"/>
            <w:rPr>
              <w:rFonts w:eastAsia="Times New Roman"/>
              <w:color w:val="000000"/>
            </w:rPr>
          </w:pPr>
          <w:proofErr w:type="gramStart"/>
          <w:r w:rsidRPr="00B00617">
            <w:rPr>
              <w:rFonts w:eastAsia="Times New Roman"/>
              <w:color w:val="000000"/>
            </w:rPr>
            <w:t>IMF.</w:t>
          </w:r>
          <w:proofErr w:type="gramEnd"/>
          <w:r w:rsidRPr="00B00617">
            <w:rPr>
              <w:rFonts w:eastAsia="Times New Roman"/>
              <w:color w:val="000000"/>
            </w:rPr>
            <w:t xml:space="preserve"> (2024a). </w:t>
          </w:r>
          <w:r w:rsidRPr="00B00617">
            <w:rPr>
              <w:rFonts w:eastAsia="Times New Roman"/>
              <w:i/>
              <w:iCs/>
              <w:color w:val="000000"/>
            </w:rPr>
            <w:t>Indonesia: 2024 Article IV Consultation-Press Release; Staff Report; and Statement by the Executive Director for Indonesia; IMF Country Report No. 24/270; July 2, 2024</w:t>
          </w:r>
          <w:r w:rsidRPr="00B00617">
            <w:rPr>
              <w:rFonts w:eastAsia="Times New Roman"/>
              <w:color w:val="000000"/>
            </w:rPr>
            <w:t xml:space="preserve">. </w:t>
          </w:r>
          <w:hyperlink r:id="rId37" w:history="1">
            <w:r w:rsidR="00C213FC" w:rsidRPr="002E2C48">
              <w:rPr>
                <w:rStyle w:val="Hyperlink"/>
                <w:rFonts w:eastAsia="Times New Roman"/>
              </w:rPr>
              <w:t>http://www.imf.org</w:t>
            </w:r>
          </w:hyperlink>
          <w:r w:rsidR="00C213FC">
            <w:rPr>
              <w:rFonts w:eastAsia="Times New Roman"/>
              <w:color w:val="000000"/>
            </w:rPr>
            <w:t xml:space="preserve"> </w:t>
          </w:r>
        </w:p>
        <w:p w14:paraId="14BCD4FC" w14:textId="6A176462" w:rsidR="00B00617" w:rsidRPr="00B00617" w:rsidRDefault="00B00617" w:rsidP="00B00617">
          <w:pPr>
            <w:autoSpaceDE w:val="0"/>
            <w:autoSpaceDN w:val="0"/>
            <w:ind w:hanging="480"/>
            <w:jc w:val="both"/>
            <w:divId w:val="932518591"/>
            <w:rPr>
              <w:rFonts w:eastAsia="Times New Roman"/>
              <w:color w:val="000000"/>
            </w:rPr>
          </w:pPr>
          <w:proofErr w:type="gramStart"/>
          <w:r w:rsidRPr="00B00617">
            <w:rPr>
              <w:rFonts w:eastAsia="Times New Roman"/>
              <w:color w:val="000000"/>
            </w:rPr>
            <w:t>IMF.</w:t>
          </w:r>
          <w:proofErr w:type="gramEnd"/>
          <w:r w:rsidRPr="00B00617">
            <w:rPr>
              <w:rFonts w:eastAsia="Times New Roman"/>
              <w:color w:val="000000"/>
            </w:rPr>
            <w:t xml:space="preserve"> (2024b). </w:t>
          </w:r>
          <w:r w:rsidRPr="00B00617">
            <w:rPr>
              <w:rFonts w:eastAsia="Times New Roman"/>
              <w:i/>
              <w:iCs/>
              <w:color w:val="000000"/>
            </w:rPr>
            <w:t>Indonesia: 2024 Article IV Consultation-Press Release; Staff Report; and Statement by the Executive Director for Indonesia; IMF Country Report No. 24/270; July 2, 2024</w:t>
          </w:r>
          <w:r w:rsidRPr="00B00617">
            <w:rPr>
              <w:rFonts w:eastAsia="Times New Roman"/>
              <w:color w:val="000000"/>
            </w:rPr>
            <w:t xml:space="preserve">. </w:t>
          </w:r>
          <w:hyperlink r:id="rId38" w:history="1">
            <w:r w:rsidR="00C213FC" w:rsidRPr="002E2C48">
              <w:rPr>
                <w:rStyle w:val="Hyperlink"/>
                <w:rFonts w:eastAsia="Times New Roman"/>
              </w:rPr>
              <w:t>http://www.imf.org</w:t>
            </w:r>
          </w:hyperlink>
          <w:r w:rsidR="00C213FC">
            <w:rPr>
              <w:rFonts w:eastAsia="Times New Roman"/>
              <w:color w:val="000000"/>
            </w:rPr>
            <w:t xml:space="preserve"> </w:t>
          </w:r>
        </w:p>
        <w:p w14:paraId="2B437688" w14:textId="69610877" w:rsidR="00B00617" w:rsidRPr="00B00617" w:rsidRDefault="00B00617" w:rsidP="00B00617">
          <w:pPr>
            <w:autoSpaceDE w:val="0"/>
            <w:autoSpaceDN w:val="0"/>
            <w:ind w:hanging="480"/>
            <w:jc w:val="both"/>
            <w:divId w:val="309948416"/>
            <w:rPr>
              <w:rFonts w:eastAsia="Times New Roman"/>
              <w:color w:val="000000"/>
            </w:rPr>
          </w:pPr>
          <w:proofErr w:type="gramStart"/>
          <w:r w:rsidRPr="00B00617">
            <w:rPr>
              <w:rFonts w:eastAsia="Times New Roman"/>
              <w:color w:val="000000"/>
            </w:rPr>
            <w:t>Ito, T., &amp; Sato, K. (2008).</w:t>
          </w:r>
          <w:proofErr w:type="gramEnd"/>
          <w:r w:rsidRPr="00B00617">
            <w:rPr>
              <w:rFonts w:eastAsia="Times New Roman"/>
              <w:color w:val="000000"/>
            </w:rPr>
            <w:t xml:space="preserve"> Exchange rate changes and inflation in post-crisis Asian economies: Vector autoregression analysis of the exchange rate pass-through. </w:t>
          </w:r>
          <w:r w:rsidRPr="00B00617">
            <w:rPr>
              <w:rFonts w:eastAsia="Times New Roman"/>
              <w:i/>
              <w:iCs/>
              <w:color w:val="000000"/>
            </w:rPr>
            <w:t>Journal of Money, Credit and Banking</w:t>
          </w:r>
          <w:r w:rsidRPr="00B00617">
            <w:rPr>
              <w:rFonts w:eastAsia="Times New Roman"/>
              <w:color w:val="000000"/>
            </w:rPr>
            <w:t xml:space="preserve">, </w:t>
          </w:r>
          <w:r w:rsidRPr="00B00617">
            <w:rPr>
              <w:rFonts w:eastAsia="Times New Roman"/>
              <w:i/>
              <w:iCs/>
              <w:color w:val="000000"/>
            </w:rPr>
            <w:t>40</w:t>
          </w:r>
          <w:r w:rsidRPr="00B00617">
            <w:rPr>
              <w:rFonts w:eastAsia="Times New Roman"/>
              <w:color w:val="000000"/>
            </w:rPr>
            <w:t xml:space="preserve">(7), 1407–1438. </w:t>
          </w:r>
          <w:hyperlink r:id="rId39" w:history="1">
            <w:r w:rsidR="00C213FC" w:rsidRPr="002E2C48">
              <w:rPr>
                <w:rStyle w:val="Hyperlink"/>
                <w:rFonts w:eastAsia="Times New Roman"/>
              </w:rPr>
              <w:t>https://doi.org/10.1111/j.1538-4616.2008.00165.x</w:t>
            </w:r>
          </w:hyperlink>
          <w:r w:rsidR="00C213FC">
            <w:rPr>
              <w:rFonts w:eastAsia="Times New Roman"/>
              <w:color w:val="000000"/>
            </w:rPr>
            <w:t xml:space="preserve"> </w:t>
          </w:r>
        </w:p>
        <w:p w14:paraId="5627059D" w14:textId="77777777" w:rsidR="00B00617" w:rsidRPr="00B00617" w:rsidRDefault="00B00617" w:rsidP="00B00617">
          <w:pPr>
            <w:autoSpaceDE w:val="0"/>
            <w:autoSpaceDN w:val="0"/>
            <w:ind w:hanging="480"/>
            <w:jc w:val="both"/>
            <w:divId w:val="1451433457"/>
            <w:rPr>
              <w:rFonts w:eastAsia="Times New Roman"/>
              <w:color w:val="000000"/>
            </w:rPr>
          </w:pPr>
          <w:proofErr w:type="gramStart"/>
          <w:r w:rsidRPr="00B00617">
            <w:rPr>
              <w:rFonts w:eastAsia="Times New Roman"/>
              <w:color w:val="000000"/>
            </w:rPr>
            <w:t>Juneldi, J., &amp; Sentosa, S. U. (2022).</w:t>
          </w:r>
          <w:proofErr w:type="gramEnd"/>
          <w:r w:rsidRPr="00B00617">
            <w:rPr>
              <w:rFonts w:eastAsia="Times New Roman"/>
              <w:color w:val="000000"/>
            </w:rPr>
            <w:t xml:space="preserve"> Efek Variabel Kebijakan Moneter Dan Fiskal Terhadap Inflasi, Pertumbuhan Ekonomi Dan Tingkat Pengangguran Di Indonesia. </w:t>
          </w:r>
          <w:r w:rsidRPr="00B00617">
            <w:rPr>
              <w:rFonts w:eastAsia="Times New Roman"/>
              <w:i/>
              <w:iCs/>
              <w:color w:val="000000"/>
            </w:rPr>
            <w:t>Jurnal Kajian Ekonomi Dan Pembangunan</w:t>
          </w:r>
          <w:r w:rsidRPr="00B00617">
            <w:rPr>
              <w:rFonts w:eastAsia="Times New Roman"/>
              <w:color w:val="000000"/>
            </w:rPr>
            <w:t xml:space="preserve">, </w:t>
          </w:r>
          <w:r w:rsidRPr="00B00617">
            <w:rPr>
              <w:rFonts w:eastAsia="Times New Roman"/>
              <w:i/>
              <w:iCs/>
              <w:color w:val="000000"/>
            </w:rPr>
            <w:t>4</w:t>
          </w:r>
          <w:r w:rsidRPr="00B00617">
            <w:rPr>
              <w:rFonts w:eastAsia="Times New Roman"/>
              <w:color w:val="000000"/>
            </w:rPr>
            <w:t>, 1–10.</w:t>
          </w:r>
        </w:p>
        <w:p w14:paraId="320F3971" w14:textId="1AE8289D" w:rsidR="00B00617" w:rsidRPr="00B00617" w:rsidRDefault="00B00617" w:rsidP="00B00617">
          <w:pPr>
            <w:autoSpaceDE w:val="0"/>
            <w:autoSpaceDN w:val="0"/>
            <w:ind w:hanging="480"/>
            <w:jc w:val="both"/>
            <w:divId w:val="583996965"/>
            <w:rPr>
              <w:rFonts w:eastAsia="Times New Roman"/>
              <w:color w:val="000000"/>
            </w:rPr>
          </w:pPr>
          <w:proofErr w:type="gramStart"/>
          <w:r w:rsidRPr="00B00617">
            <w:rPr>
              <w:rFonts w:eastAsia="Times New Roman"/>
              <w:color w:val="000000"/>
            </w:rPr>
            <w:t>Kaminsky, G. L., Reinhart, C. M., &amp; Végh, C. A. (2004).</w:t>
          </w:r>
          <w:proofErr w:type="gramEnd"/>
          <w:r w:rsidRPr="00B00617">
            <w:rPr>
              <w:rFonts w:eastAsia="Times New Roman"/>
              <w:color w:val="000000"/>
            </w:rPr>
            <w:t xml:space="preserve"> When it rains, it pours: Procyclical capital flows and macroeconomic policies. </w:t>
          </w:r>
          <w:r w:rsidRPr="00B00617">
            <w:rPr>
              <w:rFonts w:eastAsia="Times New Roman"/>
              <w:i/>
              <w:iCs/>
              <w:color w:val="000000"/>
            </w:rPr>
            <w:t>NBER Macroeconomics Annual</w:t>
          </w:r>
          <w:r w:rsidRPr="00B00617">
            <w:rPr>
              <w:rFonts w:eastAsia="Times New Roman"/>
              <w:color w:val="000000"/>
            </w:rPr>
            <w:t xml:space="preserve">, </w:t>
          </w:r>
          <w:r w:rsidRPr="00B00617">
            <w:rPr>
              <w:rFonts w:eastAsia="Times New Roman"/>
              <w:i/>
              <w:iCs/>
              <w:color w:val="000000"/>
            </w:rPr>
            <w:t>19</w:t>
          </w:r>
          <w:r w:rsidRPr="00B00617">
            <w:rPr>
              <w:rFonts w:eastAsia="Times New Roman"/>
              <w:color w:val="000000"/>
            </w:rPr>
            <w:t xml:space="preserve">, 12–53. </w:t>
          </w:r>
          <w:hyperlink r:id="rId40" w:history="1">
            <w:r w:rsidR="00C213FC" w:rsidRPr="002E2C48">
              <w:rPr>
                <w:rStyle w:val="Hyperlink"/>
                <w:rFonts w:eastAsia="Times New Roman"/>
              </w:rPr>
              <w:t>https://doi.org/10.1086/ma.19.3585327</w:t>
            </w:r>
          </w:hyperlink>
          <w:r w:rsidR="00C213FC">
            <w:rPr>
              <w:rFonts w:eastAsia="Times New Roman"/>
              <w:color w:val="000000"/>
            </w:rPr>
            <w:t xml:space="preserve"> </w:t>
          </w:r>
        </w:p>
        <w:p w14:paraId="0D1B82FD" w14:textId="6FF6CF81" w:rsidR="00B00617" w:rsidRPr="00B00617" w:rsidRDefault="00B00617" w:rsidP="00B00617">
          <w:pPr>
            <w:autoSpaceDE w:val="0"/>
            <w:autoSpaceDN w:val="0"/>
            <w:ind w:hanging="480"/>
            <w:jc w:val="both"/>
            <w:divId w:val="59521447"/>
            <w:rPr>
              <w:rFonts w:eastAsia="Times New Roman"/>
              <w:color w:val="000000"/>
            </w:rPr>
          </w:pPr>
          <w:r w:rsidRPr="00B00617">
            <w:rPr>
              <w:rFonts w:eastAsia="Times New Roman"/>
              <w:color w:val="000000"/>
            </w:rPr>
            <w:t xml:space="preserve">Keynes, J. M. (1936). </w:t>
          </w:r>
          <w:proofErr w:type="gramStart"/>
          <w:r w:rsidRPr="00B00617">
            <w:rPr>
              <w:rFonts w:eastAsia="Times New Roman"/>
              <w:i/>
              <w:iCs/>
              <w:color w:val="000000"/>
            </w:rPr>
            <w:t>The General Theory of Employment, Interest and Money</w:t>
          </w:r>
          <w:r w:rsidRPr="00B00617">
            <w:rPr>
              <w:rFonts w:eastAsia="Times New Roman"/>
              <w:color w:val="000000"/>
            </w:rPr>
            <w:t xml:space="preserve"> (marxists.org 2002.).</w:t>
          </w:r>
          <w:proofErr w:type="gramEnd"/>
          <w:r w:rsidRPr="00B00617">
            <w:rPr>
              <w:rFonts w:eastAsia="Times New Roman"/>
              <w:color w:val="000000"/>
            </w:rPr>
            <w:t xml:space="preserve"> </w:t>
          </w:r>
          <w:proofErr w:type="gramStart"/>
          <w:r w:rsidRPr="00B00617">
            <w:rPr>
              <w:rFonts w:eastAsia="Times New Roman"/>
              <w:color w:val="000000"/>
            </w:rPr>
            <w:t>Macmillan Cambridge University Press, for Royal Economic Society in 1936.</w:t>
          </w:r>
          <w:proofErr w:type="gramEnd"/>
          <w:r w:rsidRPr="00B00617">
            <w:rPr>
              <w:rFonts w:eastAsia="Times New Roman"/>
              <w:color w:val="000000"/>
            </w:rPr>
            <w:t xml:space="preserve"> </w:t>
          </w:r>
          <w:hyperlink r:id="rId41" w:history="1">
            <w:r w:rsidR="00C213FC" w:rsidRPr="002E2C48">
              <w:rPr>
                <w:rStyle w:val="Hyperlink"/>
                <w:rFonts w:eastAsia="Times New Roman"/>
              </w:rPr>
              <w:t>https://www.marxists.org/reference/subject/economics/keynes/general-theory/</w:t>
            </w:r>
          </w:hyperlink>
          <w:r w:rsidR="00C213FC">
            <w:rPr>
              <w:rFonts w:eastAsia="Times New Roman"/>
              <w:color w:val="000000"/>
            </w:rPr>
            <w:t xml:space="preserve"> </w:t>
          </w:r>
        </w:p>
        <w:p w14:paraId="737CDCB4" w14:textId="42704D50" w:rsidR="00B00617" w:rsidRPr="00B00617" w:rsidRDefault="00B00617" w:rsidP="00B00617">
          <w:pPr>
            <w:autoSpaceDE w:val="0"/>
            <w:autoSpaceDN w:val="0"/>
            <w:ind w:hanging="480"/>
            <w:jc w:val="both"/>
            <w:divId w:val="649405038"/>
            <w:rPr>
              <w:rFonts w:eastAsia="Times New Roman"/>
              <w:color w:val="000000"/>
            </w:rPr>
          </w:pPr>
          <w:proofErr w:type="gramStart"/>
          <w:r w:rsidRPr="00B00617">
            <w:rPr>
              <w:rFonts w:eastAsia="Times New Roman"/>
              <w:color w:val="000000"/>
            </w:rPr>
            <w:t>Mael, A., Putri, N., &amp; Kusumastuti, Y. (2021).</w:t>
          </w:r>
          <w:proofErr w:type="gramEnd"/>
          <w:r w:rsidRPr="00B00617">
            <w:rPr>
              <w:rFonts w:eastAsia="Times New Roman"/>
              <w:color w:val="000000"/>
            </w:rPr>
            <w:t xml:space="preserve"> </w:t>
          </w:r>
          <w:r w:rsidRPr="00B00617">
            <w:rPr>
              <w:rFonts w:eastAsia="Times New Roman"/>
              <w:i/>
              <w:iCs/>
              <w:color w:val="000000"/>
            </w:rPr>
            <w:t>Fiscal and Monetary Policy Interaction Post Indonesian Institutional Transformation: Vector Autoregression Approach</w:t>
          </w:r>
          <w:r w:rsidRPr="00B00617">
            <w:rPr>
              <w:rFonts w:eastAsia="Times New Roman"/>
              <w:color w:val="000000"/>
            </w:rPr>
            <w:t xml:space="preserve">. </w:t>
          </w:r>
          <w:hyperlink r:id="rId42" w:history="1">
            <w:r w:rsidR="00C213FC" w:rsidRPr="002E2C48">
              <w:rPr>
                <w:rStyle w:val="Hyperlink"/>
                <w:rFonts w:eastAsia="Times New Roman"/>
              </w:rPr>
              <w:t>https://doi.org/10.31685/kek.V6.1</w:t>
            </w:r>
          </w:hyperlink>
          <w:r w:rsidR="00C213FC">
            <w:rPr>
              <w:rFonts w:eastAsia="Times New Roman"/>
              <w:color w:val="000000"/>
            </w:rPr>
            <w:t xml:space="preserve"> </w:t>
          </w:r>
        </w:p>
        <w:p w14:paraId="182BD975" w14:textId="77777777" w:rsidR="00B00617" w:rsidRPr="00B00617" w:rsidRDefault="00B00617" w:rsidP="00B00617">
          <w:pPr>
            <w:autoSpaceDE w:val="0"/>
            <w:autoSpaceDN w:val="0"/>
            <w:ind w:hanging="480"/>
            <w:jc w:val="both"/>
            <w:divId w:val="1988629935"/>
            <w:rPr>
              <w:rFonts w:eastAsia="Times New Roman"/>
              <w:color w:val="000000"/>
            </w:rPr>
          </w:pPr>
          <w:r w:rsidRPr="00B00617">
            <w:rPr>
              <w:rFonts w:eastAsia="Times New Roman"/>
              <w:color w:val="000000"/>
            </w:rPr>
            <w:t xml:space="preserve">Milton Friedman, B., Alchian, A., Becker, G., Bronfenbrenner, M., Burns, A. F., Cagan, P., Friedman, D. D., Harris, L., Johnson, H. G., Jones, H., Jordan, J., Meiselman, D., Meltzer, A. H., Schultz, T. W., Schwartz, A. J., Stein, H., Stigler, G. J., &amp; Tobin, J. (1968). </w:t>
          </w:r>
          <w:proofErr w:type="gramStart"/>
          <w:r w:rsidRPr="00B00617">
            <w:rPr>
              <w:rFonts w:eastAsia="Times New Roman"/>
              <w:i/>
              <w:iCs/>
              <w:color w:val="000000"/>
            </w:rPr>
            <w:t>THE ROLE OF MONETARY POLICY*</w:t>
          </w:r>
          <w:r w:rsidRPr="00B00617">
            <w:rPr>
              <w:rFonts w:eastAsia="Times New Roman"/>
              <w:color w:val="000000"/>
            </w:rPr>
            <w:t>.</w:t>
          </w:r>
          <w:proofErr w:type="gramEnd"/>
          <w:r w:rsidRPr="00B00617">
            <w:rPr>
              <w:rFonts w:eastAsia="Times New Roman"/>
              <w:color w:val="000000"/>
            </w:rPr>
            <w:t xml:space="preserve"> </w:t>
          </w:r>
          <w:proofErr w:type="gramStart"/>
          <w:r w:rsidRPr="00B00617">
            <w:rPr>
              <w:rFonts w:eastAsia="Times New Roman"/>
              <w:i/>
              <w:iCs/>
              <w:color w:val="000000"/>
            </w:rPr>
            <w:t>LVIII</w:t>
          </w:r>
          <w:r w:rsidRPr="00B00617">
            <w:rPr>
              <w:rFonts w:eastAsia="Times New Roman"/>
              <w:color w:val="000000"/>
            </w:rPr>
            <w:t>(</w:t>
          </w:r>
          <w:proofErr w:type="gramEnd"/>
          <w:r w:rsidRPr="00B00617">
            <w:rPr>
              <w:rFonts w:eastAsia="Times New Roman"/>
              <w:color w:val="000000"/>
            </w:rPr>
            <w:t>1).</w:t>
          </w:r>
        </w:p>
        <w:p w14:paraId="65421EEA" w14:textId="77777777" w:rsidR="00B00617" w:rsidRPr="00B00617" w:rsidRDefault="00B00617" w:rsidP="00B00617">
          <w:pPr>
            <w:autoSpaceDE w:val="0"/>
            <w:autoSpaceDN w:val="0"/>
            <w:ind w:hanging="480"/>
            <w:jc w:val="both"/>
            <w:divId w:val="2040860039"/>
            <w:rPr>
              <w:rFonts w:eastAsia="Times New Roman"/>
              <w:color w:val="000000"/>
            </w:rPr>
          </w:pPr>
          <w:r w:rsidRPr="00B00617">
            <w:rPr>
              <w:rFonts w:eastAsia="Times New Roman"/>
              <w:color w:val="000000"/>
            </w:rPr>
            <w:t>Mishkin, F. S</w:t>
          </w:r>
          <w:proofErr w:type="gramStart"/>
          <w:r w:rsidRPr="00B00617">
            <w:rPr>
              <w:rFonts w:eastAsia="Times New Roman"/>
              <w:color w:val="000000"/>
            </w:rPr>
            <w:t>. .</w:t>
          </w:r>
          <w:proofErr w:type="gramEnd"/>
          <w:r w:rsidRPr="00B00617">
            <w:rPr>
              <w:rFonts w:eastAsia="Times New Roman"/>
              <w:color w:val="000000"/>
            </w:rPr>
            <w:t xml:space="preserve"> (2011). </w:t>
          </w:r>
          <w:proofErr w:type="gramStart"/>
          <w:r w:rsidRPr="00B00617">
            <w:rPr>
              <w:rFonts w:eastAsia="Times New Roman"/>
              <w:i/>
              <w:iCs/>
              <w:color w:val="000000"/>
            </w:rPr>
            <w:t>The</w:t>
          </w:r>
          <w:proofErr w:type="gramEnd"/>
          <w:r w:rsidRPr="00B00617">
            <w:rPr>
              <w:rFonts w:eastAsia="Times New Roman"/>
              <w:i/>
              <w:iCs/>
              <w:color w:val="000000"/>
            </w:rPr>
            <w:t xml:space="preserve"> economics of money, banking and financial markets</w:t>
          </w:r>
          <w:r w:rsidRPr="00B00617">
            <w:rPr>
              <w:rFonts w:eastAsia="Times New Roman"/>
              <w:color w:val="000000"/>
            </w:rPr>
            <w:t xml:space="preserve">. </w:t>
          </w:r>
          <w:proofErr w:type="gramStart"/>
          <w:r w:rsidRPr="00B00617">
            <w:rPr>
              <w:rFonts w:eastAsia="Times New Roman"/>
              <w:color w:val="000000"/>
            </w:rPr>
            <w:t>Pearson Canada.</w:t>
          </w:r>
          <w:proofErr w:type="gramEnd"/>
        </w:p>
        <w:p w14:paraId="34A8E6CD" w14:textId="7F36188F" w:rsidR="00B00617" w:rsidRPr="00B00617" w:rsidRDefault="00B00617" w:rsidP="00B00617">
          <w:pPr>
            <w:autoSpaceDE w:val="0"/>
            <w:autoSpaceDN w:val="0"/>
            <w:ind w:hanging="480"/>
            <w:jc w:val="both"/>
            <w:divId w:val="1990934233"/>
            <w:rPr>
              <w:rFonts w:eastAsia="Times New Roman"/>
              <w:color w:val="000000"/>
            </w:rPr>
          </w:pPr>
          <w:r w:rsidRPr="00B00617">
            <w:rPr>
              <w:rFonts w:eastAsia="Times New Roman"/>
              <w:color w:val="000000"/>
            </w:rPr>
            <w:t xml:space="preserve">Phillips, A. W. (1958). The Relation </w:t>
          </w:r>
          <w:proofErr w:type="gramStart"/>
          <w:r w:rsidRPr="00B00617">
            <w:rPr>
              <w:rFonts w:eastAsia="Times New Roman"/>
              <w:color w:val="000000"/>
            </w:rPr>
            <w:t>Between</w:t>
          </w:r>
          <w:proofErr w:type="gramEnd"/>
          <w:r w:rsidRPr="00B00617">
            <w:rPr>
              <w:rFonts w:eastAsia="Times New Roman"/>
              <w:color w:val="000000"/>
            </w:rPr>
            <w:t xml:space="preserve"> Unemployment and the Rate of Change of Money Wage Rates in the United Kingdom, 1861–19571. </w:t>
          </w:r>
          <w:r w:rsidRPr="00B00617">
            <w:rPr>
              <w:rFonts w:eastAsia="Times New Roman"/>
              <w:i/>
              <w:iCs/>
              <w:color w:val="000000"/>
            </w:rPr>
            <w:t>Economica</w:t>
          </w:r>
          <w:r w:rsidRPr="00B00617">
            <w:rPr>
              <w:rFonts w:eastAsia="Times New Roman"/>
              <w:color w:val="000000"/>
            </w:rPr>
            <w:t xml:space="preserve">, </w:t>
          </w:r>
          <w:r w:rsidRPr="00B00617">
            <w:rPr>
              <w:rFonts w:eastAsia="Times New Roman"/>
              <w:i/>
              <w:iCs/>
              <w:color w:val="000000"/>
            </w:rPr>
            <w:t>25</w:t>
          </w:r>
          <w:r w:rsidRPr="00B00617">
            <w:rPr>
              <w:rFonts w:eastAsia="Times New Roman"/>
              <w:color w:val="000000"/>
            </w:rPr>
            <w:t xml:space="preserve">(100), 283–299. </w:t>
          </w:r>
          <w:hyperlink r:id="rId43" w:history="1">
            <w:r w:rsidR="00C213FC" w:rsidRPr="002E2C48">
              <w:rPr>
                <w:rStyle w:val="Hyperlink"/>
                <w:rFonts w:eastAsia="Times New Roman"/>
              </w:rPr>
              <w:t>https://doi.org/10.1111/j.1468-0335.1958.tb00003.x</w:t>
            </w:r>
          </w:hyperlink>
          <w:r w:rsidR="00C213FC">
            <w:rPr>
              <w:rFonts w:eastAsia="Times New Roman"/>
              <w:color w:val="000000"/>
            </w:rPr>
            <w:t xml:space="preserve"> </w:t>
          </w:r>
        </w:p>
        <w:p w14:paraId="4EAB209C" w14:textId="2BBFE926" w:rsidR="00B00617" w:rsidRPr="00B00617" w:rsidRDefault="00B00617" w:rsidP="00B00617">
          <w:pPr>
            <w:autoSpaceDE w:val="0"/>
            <w:autoSpaceDN w:val="0"/>
            <w:ind w:hanging="480"/>
            <w:jc w:val="both"/>
            <w:divId w:val="541484835"/>
            <w:rPr>
              <w:rFonts w:eastAsia="Times New Roman"/>
              <w:color w:val="000000"/>
            </w:rPr>
          </w:pPr>
          <w:proofErr w:type="gramStart"/>
          <w:r w:rsidRPr="00B00617">
            <w:rPr>
              <w:rFonts w:eastAsia="Times New Roman"/>
              <w:color w:val="000000"/>
            </w:rPr>
            <w:t>Pravitasari, C. F., &amp; Insukindro, I. (2023).</w:t>
          </w:r>
          <w:proofErr w:type="gramEnd"/>
          <w:r w:rsidRPr="00B00617">
            <w:rPr>
              <w:rFonts w:eastAsia="Times New Roman"/>
              <w:color w:val="000000"/>
            </w:rPr>
            <w:t xml:space="preserve"> </w:t>
          </w:r>
          <w:proofErr w:type="gramStart"/>
          <w:r w:rsidRPr="00B00617">
            <w:rPr>
              <w:rFonts w:eastAsia="Times New Roman"/>
              <w:color w:val="000000"/>
            </w:rPr>
            <w:t>The Impact of Fiscal-Monetary Policy Interaction on the Indonesian Economy.</w:t>
          </w:r>
          <w:proofErr w:type="gramEnd"/>
          <w:r w:rsidRPr="00B00617">
            <w:rPr>
              <w:rFonts w:eastAsia="Times New Roman"/>
              <w:color w:val="000000"/>
            </w:rPr>
            <w:t xml:space="preserve"> </w:t>
          </w:r>
          <w:r w:rsidRPr="00B00617">
            <w:rPr>
              <w:rFonts w:eastAsia="Times New Roman"/>
              <w:i/>
              <w:iCs/>
              <w:color w:val="000000"/>
            </w:rPr>
            <w:t>Jurnal Ekonomi Pembangunan</w:t>
          </w:r>
          <w:r w:rsidRPr="00B00617">
            <w:rPr>
              <w:rFonts w:eastAsia="Times New Roman"/>
              <w:color w:val="000000"/>
            </w:rPr>
            <w:t xml:space="preserve">, </w:t>
          </w:r>
          <w:r w:rsidRPr="00B00617">
            <w:rPr>
              <w:rFonts w:eastAsia="Times New Roman"/>
              <w:i/>
              <w:iCs/>
              <w:color w:val="000000"/>
            </w:rPr>
            <w:t>20</w:t>
          </w:r>
          <w:r w:rsidRPr="00B00617">
            <w:rPr>
              <w:rFonts w:eastAsia="Times New Roman"/>
              <w:color w:val="000000"/>
            </w:rPr>
            <w:t xml:space="preserve">(2), 159–172. </w:t>
          </w:r>
          <w:hyperlink r:id="rId44" w:history="1">
            <w:r w:rsidR="00C213FC" w:rsidRPr="002E2C48">
              <w:rPr>
                <w:rStyle w:val="Hyperlink"/>
                <w:rFonts w:eastAsia="Times New Roman"/>
              </w:rPr>
              <w:t>https://doi.org/10.29259/jep.v20i2.18586</w:t>
            </w:r>
          </w:hyperlink>
          <w:r w:rsidR="00C213FC">
            <w:rPr>
              <w:rFonts w:eastAsia="Times New Roman"/>
              <w:color w:val="000000"/>
            </w:rPr>
            <w:t xml:space="preserve"> </w:t>
          </w:r>
        </w:p>
        <w:p w14:paraId="160EEE38" w14:textId="6EFA03BE" w:rsidR="00B00617" w:rsidRPr="00B00617" w:rsidRDefault="00B00617" w:rsidP="00B00617">
          <w:pPr>
            <w:autoSpaceDE w:val="0"/>
            <w:autoSpaceDN w:val="0"/>
            <w:ind w:hanging="480"/>
            <w:jc w:val="both"/>
            <w:divId w:val="467868779"/>
            <w:rPr>
              <w:rFonts w:eastAsia="Times New Roman"/>
              <w:color w:val="000000"/>
            </w:rPr>
          </w:pPr>
          <w:r w:rsidRPr="00B00617">
            <w:rPr>
              <w:rFonts w:eastAsia="Times New Roman"/>
              <w:color w:val="000000"/>
            </w:rPr>
            <w:t xml:space="preserve">Ramey, V. A. (2011). Identifying government spending shocks: It’s all in the timing. </w:t>
          </w:r>
          <w:r w:rsidRPr="00B00617">
            <w:rPr>
              <w:rFonts w:eastAsia="Times New Roman"/>
              <w:i/>
              <w:iCs/>
              <w:color w:val="000000"/>
            </w:rPr>
            <w:t>Quarterly Journal of Economics</w:t>
          </w:r>
          <w:r w:rsidRPr="00B00617">
            <w:rPr>
              <w:rFonts w:eastAsia="Times New Roman"/>
              <w:color w:val="000000"/>
            </w:rPr>
            <w:t xml:space="preserve">, </w:t>
          </w:r>
          <w:r w:rsidRPr="00B00617">
            <w:rPr>
              <w:rFonts w:eastAsia="Times New Roman"/>
              <w:i/>
              <w:iCs/>
              <w:color w:val="000000"/>
            </w:rPr>
            <w:t>126</w:t>
          </w:r>
          <w:r w:rsidRPr="00B00617">
            <w:rPr>
              <w:rFonts w:eastAsia="Times New Roman"/>
              <w:color w:val="000000"/>
            </w:rPr>
            <w:t xml:space="preserve">(1), 1–50. </w:t>
          </w:r>
          <w:hyperlink r:id="rId45" w:history="1">
            <w:r w:rsidR="00C213FC" w:rsidRPr="002E2C48">
              <w:rPr>
                <w:rStyle w:val="Hyperlink"/>
                <w:rFonts w:eastAsia="Times New Roman"/>
              </w:rPr>
              <w:t>https://doi.org/10.1093/qje/qjq008</w:t>
            </w:r>
          </w:hyperlink>
          <w:r w:rsidR="00C213FC">
            <w:rPr>
              <w:rFonts w:eastAsia="Times New Roman"/>
              <w:color w:val="000000"/>
            </w:rPr>
            <w:t xml:space="preserve"> </w:t>
          </w:r>
        </w:p>
        <w:p w14:paraId="55D5A33F" w14:textId="2253D573" w:rsidR="00B00617" w:rsidRPr="00B00617" w:rsidRDefault="00B00617" w:rsidP="00B00617">
          <w:pPr>
            <w:autoSpaceDE w:val="0"/>
            <w:autoSpaceDN w:val="0"/>
            <w:ind w:hanging="480"/>
            <w:jc w:val="both"/>
            <w:divId w:val="131947403"/>
            <w:rPr>
              <w:rFonts w:eastAsia="Times New Roman"/>
              <w:color w:val="000000"/>
            </w:rPr>
          </w:pPr>
          <w:r w:rsidRPr="00B00617">
            <w:rPr>
              <w:rFonts w:eastAsia="Times New Roman"/>
              <w:color w:val="000000"/>
            </w:rPr>
            <w:t xml:space="preserve">Rant, V., Puc, A., Čok, M., &amp; Verbič, M. (2024). Macroeconomic impacts of monetary and fiscal policy in the euro area in times of shifting policies: A SVAR approach. </w:t>
          </w:r>
          <w:r w:rsidRPr="00B00617">
            <w:rPr>
              <w:rFonts w:eastAsia="Times New Roman"/>
              <w:i/>
              <w:iCs/>
              <w:color w:val="000000"/>
            </w:rPr>
            <w:t>Finance Research Letters</w:t>
          </w:r>
          <w:r w:rsidRPr="00B00617">
            <w:rPr>
              <w:rFonts w:eastAsia="Times New Roman"/>
              <w:color w:val="000000"/>
            </w:rPr>
            <w:t xml:space="preserve">, </w:t>
          </w:r>
          <w:r w:rsidRPr="00B00617">
            <w:rPr>
              <w:rFonts w:eastAsia="Times New Roman"/>
              <w:i/>
              <w:iCs/>
              <w:color w:val="000000"/>
            </w:rPr>
            <w:t>64</w:t>
          </w:r>
          <w:r w:rsidRPr="00B00617">
            <w:rPr>
              <w:rFonts w:eastAsia="Times New Roman"/>
              <w:color w:val="000000"/>
            </w:rPr>
            <w:t xml:space="preserve">. </w:t>
          </w:r>
          <w:hyperlink r:id="rId46" w:history="1">
            <w:r w:rsidR="00C213FC" w:rsidRPr="002E2C48">
              <w:rPr>
                <w:rStyle w:val="Hyperlink"/>
                <w:rFonts w:eastAsia="Times New Roman"/>
              </w:rPr>
              <w:t>https://doi.org/10.1016/j.frl.2024.105406</w:t>
            </w:r>
          </w:hyperlink>
          <w:r w:rsidR="00C213FC">
            <w:rPr>
              <w:rFonts w:eastAsia="Times New Roman"/>
              <w:color w:val="000000"/>
            </w:rPr>
            <w:t xml:space="preserve"> </w:t>
          </w:r>
        </w:p>
        <w:p w14:paraId="7FE49DF8" w14:textId="7545811D" w:rsidR="00B00617" w:rsidRPr="00B00617" w:rsidRDefault="00B00617" w:rsidP="00B00617">
          <w:pPr>
            <w:autoSpaceDE w:val="0"/>
            <w:autoSpaceDN w:val="0"/>
            <w:ind w:hanging="480"/>
            <w:jc w:val="both"/>
            <w:divId w:val="689137054"/>
            <w:rPr>
              <w:rFonts w:eastAsia="Times New Roman"/>
              <w:color w:val="000000"/>
            </w:rPr>
          </w:pPr>
          <w:proofErr w:type="gramStart"/>
          <w:r w:rsidRPr="00B00617">
            <w:rPr>
              <w:rFonts w:eastAsia="Times New Roman"/>
              <w:color w:val="000000"/>
            </w:rPr>
            <w:t>Rizvi, S. A. R., Sharma, S. S., &amp; Juhro, S. M. (2024).</w:t>
          </w:r>
          <w:proofErr w:type="gramEnd"/>
          <w:r w:rsidRPr="00B00617">
            <w:rPr>
              <w:rFonts w:eastAsia="Times New Roman"/>
              <w:color w:val="000000"/>
            </w:rPr>
            <w:t xml:space="preserve"> </w:t>
          </w:r>
          <w:proofErr w:type="gramStart"/>
          <w:r w:rsidRPr="00B00617">
            <w:rPr>
              <w:rFonts w:eastAsia="Times New Roman"/>
              <w:color w:val="000000"/>
            </w:rPr>
            <w:t>Demystifying COVID-19 policy actions: The case of inflation control in ASEAN.</w:t>
          </w:r>
          <w:proofErr w:type="gramEnd"/>
          <w:r w:rsidRPr="00B00617">
            <w:rPr>
              <w:rFonts w:eastAsia="Times New Roman"/>
              <w:color w:val="000000"/>
            </w:rPr>
            <w:t xml:space="preserve"> </w:t>
          </w:r>
          <w:proofErr w:type="gramStart"/>
          <w:r w:rsidRPr="00B00617">
            <w:rPr>
              <w:rFonts w:eastAsia="Times New Roman"/>
              <w:i/>
              <w:iCs/>
              <w:color w:val="000000"/>
            </w:rPr>
            <w:t>Pacific Basin Finance Journal</w:t>
          </w:r>
          <w:r w:rsidRPr="00B00617">
            <w:rPr>
              <w:rFonts w:eastAsia="Times New Roman"/>
              <w:color w:val="000000"/>
            </w:rPr>
            <w:t xml:space="preserve">, </w:t>
          </w:r>
          <w:r w:rsidRPr="00B00617">
            <w:rPr>
              <w:rFonts w:eastAsia="Times New Roman"/>
              <w:i/>
              <w:iCs/>
              <w:color w:val="000000"/>
            </w:rPr>
            <w:t>83</w:t>
          </w:r>
          <w:r w:rsidRPr="00B00617">
            <w:rPr>
              <w:rFonts w:eastAsia="Times New Roman"/>
              <w:color w:val="000000"/>
            </w:rPr>
            <w:t>.</w:t>
          </w:r>
          <w:proofErr w:type="gramEnd"/>
          <w:r w:rsidRPr="00B00617">
            <w:rPr>
              <w:rFonts w:eastAsia="Times New Roman"/>
              <w:color w:val="000000"/>
            </w:rPr>
            <w:t xml:space="preserve"> </w:t>
          </w:r>
          <w:hyperlink r:id="rId47" w:history="1">
            <w:r w:rsidR="00C213FC" w:rsidRPr="002E2C48">
              <w:rPr>
                <w:rStyle w:val="Hyperlink"/>
                <w:rFonts w:eastAsia="Times New Roman"/>
              </w:rPr>
              <w:t>https://doi.org/10.1016/j.pacfin.2023.102233</w:t>
            </w:r>
          </w:hyperlink>
          <w:r w:rsidR="00C213FC">
            <w:rPr>
              <w:rFonts w:eastAsia="Times New Roman"/>
              <w:color w:val="000000"/>
            </w:rPr>
            <w:t xml:space="preserve">  </w:t>
          </w:r>
        </w:p>
        <w:p w14:paraId="008D3D7E" w14:textId="77777777" w:rsidR="00B00617" w:rsidRPr="00B00617" w:rsidRDefault="00B00617" w:rsidP="00B00617">
          <w:pPr>
            <w:autoSpaceDE w:val="0"/>
            <w:autoSpaceDN w:val="0"/>
            <w:ind w:hanging="480"/>
            <w:jc w:val="both"/>
            <w:divId w:val="1658654414"/>
            <w:rPr>
              <w:rFonts w:eastAsia="Times New Roman"/>
              <w:color w:val="000000"/>
            </w:rPr>
          </w:pPr>
          <w:r w:rsidRPr="00B00617">
            <w:rPr>
              <w:rFonts w:eastAsia="Times New Roman"/>
              <w:color w:val="000000"/>
            </w:rPr>
            <w:lastRenderedPageBreak/>
            <w:t>Samuelson, P. A</w:t>
          </w:r>
          <w:proofErr w:type="gramStart"/>
          <w:r w:rsidRPr="00B00617">
            <w:rPr>
              <w:rFonts w:eastAsia="Times New Roman"/>
              <w:color w:val="000000"/>
            </w:rPr>
            <w:t>. ,</w:t>
          </w:r>
          <w:proofErr w:type="gramEnd"/>
          <w:r w:rsidRPr="00B00617">
            <w:rPr>
              <w:rFonts w:eastAsia="Times New Roman"/>
              <w:color w:val="000000"/>
            </w:rPr>
            <w:t xml:space="preserve"> &amp; S. R. M. (1960). </w:t>
          </w:r>
          <w:proofErr w:type="gramStart"/>
          <w:r w:rsidRPr="00B00617">
            <w:rPr>
              <w:rFonts w:eastAsia="Times New Roman"/>
              <w:color w:val="000000"/>
            </w:rPr>
            <w:t>Analytical aspects of anti-inflation policy.</w:t>
          </w:r>
          <w:proofErr w:type="gramEnd"/>
          <w:r w:rsidRPr="00B00617">
            <w:rPr>
              <w:rFonts w:eastAsia="Times New Roman"/>
              <w:color w:val="000000"/>
            </w:rPr>
            <w:t xml:space="preserve"> </w:t>
          </w:r>
          <w:r w:rsidRPr="00B00617">
            <w:rPr>
              <w:rFonts w:eastAsia="Times New Roman"/>
              <w:i/>
              <w:iCs/>
              <w:color w:val="000000"/>
            </w:rPr>
            <w:t>American Economic Review</w:t>
          </w:r>
          <w:r w:rsidRPr="00B00617">
            <w:rPr>
              <w:rFonts w:eastAsia="Times New Roman"/>
              <w:color w:val="000000"/>
            </w:rPr>
            <w:t>, (50(2)), 177–194.</w:t>
          </w:r>
        </w:p>
        <w:p w14:paraId="457CAAC5" w14:textId="77777777" w:rsidR="00B00617" w:rsidRPr="00B00617" w:rsidRDefault="00B00617" w:rsidP="00B00617">
          <w:pPr>
            <w:autoSpaceDE w:val="0"/>
            <w:autoSpaceDN w:val="0"/>
            <w:ind w:hanging="480"/>
            <w:jc w:val="both"/>
            <w:divId w:val="231046696"/>
            <w:rPr>
              <w:rFonts w:eastAsia="Times New Roman"/>
              <w:color w:val="000000"/>
            </w:rPr>
          </w:pPr>
          <w:r w:rsidRPr="00B00617">
            <w:rPr>
              <w:rFonts w:eastAsia="Times New Roman"/>
              <w:color w:val="000000"/>
            </w:rPr>
            <w:t xml:space="preserve">Sargent, T. J. (1981). </w:t>
          </w:r>
          <w:proofErr w:type="gramStart"/>
          <w:r w:rsidRPr="00B00617">
            <w:rPr>
              <w:rFonts w:eastAsia="Times New Roman"/>
              <w:i/>
              <w:iCs/>
              <w:color w:val="000000"/>
            </w:rPr>
            <w:t>Federal Reserve Bank of Minneapolis</w:t>
          </w:r>
          <w:r w:rsidRPr="00B00617">
            <w:rPr>
              <w:rFonts w:eastAsia="Times New Roman"/>
              <w:color w:val="000000"/>
            </w:rPr>
            <w:t>.</w:t>
          </w:r>
          <w:proofErr w:type="gramEnd"/>
        </w:p>
        <w:p w14:paraId="5AB0108C" w14:textId="110DF585" w:rsidR="00B00617" w:rsidRPr="00B00617" w:rsidRDefault="00B00617" w:rsidP="00B00617">
          <w:pPr>
            <w:autoSpaceDE w:val="0"/>
            <w:autoSpaceDN w:val="0"/>
            <w:ind w:hanging="480"/>
            <w:jc w:val="both"/>
            <w:divId w:val="1746955227"/>
            <w:rPr>
              <w:rFonts w:eastAsia="Times New Roman"/>
              <w:color w:val="000000"/>
            </w:rPr>
          </w:pPr>
          <w:r w:rsidRPr="00B00617">
            <w:rPr>
              <w:rFonts w:eastAsia="Times New Roman"/>
              <w:color w:val="000000"/>
            </w:rPr>
            <w:t xml:space="preserve">Sriyana, J. (2022). Fiscal and monetary policies to reduce inflation rate in Indonesia. </w:t>
          </w:r>
          <w:r w:rsidRPr="00B00617">
            <w:rPr>
              <w:rFonts w:eastAsia="Times New Roman"/>
              <w:i/>
              <w:iCs/>
              <w:color w:val="000000"/>
            </w:rPr>
            <w:t>Jurnal Kebijakan Ekonomi Dan Keuangan</w:t>
          </w:r>
          <w:r w:rsidRPr="00B00617">
            <w:rPr>
              <w:rFonts w:eastAsia="Times New Roman"/>
              <w:color w:val="000000"/>
            </w:rPr>
            <w:t xml:space="preserve">, 82–91. </w:t>
          </w:r>
          <w:hyperlink r:id="rId48" w:history="1">
            <w:r w:rsidR="00C213FC" w:rsidRPr="002E2C48">
              <w:rPr>
                <w:rStyle w:val="Hyperlink"/>
                <w:rFonts w:eastAsia="Times New Roman"/>
              </w:rPr>
              <w:t>https://doi.org/10.20885/jkek.vol1.iss1.art8</w:t>
            </w:r>
          </w:hyperlink>
          <w:r w:rsidR="00C213FC">
            <w:rPr>
              <w:rFonts w:eastAsia="Times New Roman"/>
              <w:color w:val="000000"/>
            </w:rPr>
            <w:t xml:space="preserve"> </w:t>
          </w:r>
        </w:p>
        <w:p w14:paraId="2F77AD04" w14:textId="3F77DA3E" w:rsidR="00B00617" w:rsidRPr="00B00617" w:rsidRDefault="00B00617" w:rsidP="00B00617">
          <w:pPr>
            <w:autoSpaceDE w:val="0"/>
            <w:autoSpaceDN w:val="0"/>
            <w:ind w:hanging="480"/>
            <w:jc w:val="both"/>
            <w:divId w:val="2129661405"/>
            <w:rPr>
              <w:rFonts w:eastAsia="Times New Roman"/>
              <w:color w:val="000000"/>
            </w:rPr>
          </w:pPr>
          <w:r w:rsidRPr="00B00617">
            <w:rPr>
              <w:rFonts w:eastAsia="Times New Roman"/>
              <w:color w:val="000000"/>
            </w:rPr>
            <w:t xml:space="preserve">Taylor, J. B. (1993). Discretion versus policy rules in practice. </w:t>
          </w:r>
          <w:r w:rsidRPr="00B00617">
            <w:rPr>
              <w:rFonts w:eastAsia="Times New Roman"/>
              <w:i/>
              <w:iCs/>
              <w:color w:val="000000"/>
            </w:rPr>
            <w:t>Carnegie-Rochester Confer. Series on Public Policy</w:t>
          </w:r>
          <w:r w:rsidRPr="00B00617">
            <w:rPr>
              <w:rFonts w:eastAsia="Times New Roman"/>
              <w:color w:val="000000"/>
            </w:rPr>
            <w:t xml:space="preserve">, </w:t>
          </w:r>
          <w:r w:rsidRPr="00B00617">
            <w:rPr>
              <w:rFonts w:eastAsia="Times New Roman"/>
              <w:i/>
              <w:iCs/>
              <w:color w:val="000000"/>
            </w:rPr>
            <w:t>39</w:t>
          </w:r>
          <w:r w:rsidRPr="00B00617">
            <w:rPr>
              <w:rFonts w:eastAsia="Times New Roman"/>
              <w:color w:val="000000"/>
            </w:rPr>
            <w:t xml:space="preserve">(C), 195–214. </w:t>
          </w:r>
          <w:hyperlink r:id="rId49" w:history="1">
            <w:r w:rsidR="00C213FC" w:rsidRPr="002E2C48">
              <w:rPr>
                <w:rStyle w:val="Hyperlink"/>
                <w:rFonts w:eastAsia="Times New Roman"/>
              </w:rPr>
              <w:t>https://doi.org/10.1016/0167-2231(93)90009-L</w:t>
            </w:r>
          </w:hyperlink>
          <w:r w:rsidR="00C213FC">
            <w:rPr>
              <w:rFonts w:eastAsia="Times New Roman"/>
              <w:color w:val="000000"/>
            </w:rPr>
            <w:t xml:space="preserve"> </w:t>
          </w:r>
        </w:p>
        <w:p w14:paraId="1D354A59" w14:textId="77777777" w:rsidR="00B00617" w:rsidRPr="00B00617" w:rsidRDefault="00B00617" w:rsidP="00B00617">
          <w:pPr>
            <w:autoSpaceDE w:val="0"/>
            <w:autoSpaceDN w:val="0"/>
            <w:ind w:hanging="480"/>
            <w:jc w:val="both"/>
            <w:divId w:val="494953713"/>
            <w:rPr>
              <w:rFonts w:eastAsia="Times New Roman"/>
              <w:color w:val="000000"/>
            </w:rPr>
          </w:pPr>
          <w:proofErr w:type="gramStart"/>
          <w:r w:rsidRPr="00B00617">
            <w:rPr>
              <w:rFonts w:eastAsia="Times New Roman"/>
              <w:color w:val="000000"/>
            </w:rPr>
            <w:t>Warjiyo, P., &amp; Juhro, S. M. (2021).</w:t>
          </w:r>
          <w:proofErr w:type="gramEnd"/>
          <w:r w:rsidRPr="00B00617">
            <w:rPr>
              <w:rFonts w:eastAsia="Times New Roman"/>
              <w:color w:val="000000"/>
            </w:rPr>
            <w:t xml:space="preserve"> </w:t>
          </w:r>
          <w:r w:rsidRPr="00B00617">
            <w:rPr>
              <w:rFonts w:eastAsia="Times New Roman"/>
              <w:i/>
              <w:iCs/>
              <w:color w:val="000000"/>
            </w:rPr>
            <w:t>Central Bank Policy Mix: Issues, Challenges, and Policy Responses Handbook of Central Banking Studies</w:t>
          </w:r>
          <w:r w:rsidRPr="00B00617">
            <w:rPr>
              <w:rFonts w:eastAsia="Times New Roman"/>
              <w:color w:val="000000"/>
            </w:rPr>
            <w:t>.</w:t>
          </w:r>
        </w:p>
        <w:p w14:paraId="2071EE48" w14:textId="6645C58F" w:rsidR="00B00617" w:rsidRPr="00B00617" w:rsidRDefault="00B00617" w:rsidP="00B00617">
          <w:pPr>
            <w:autoSpaceDE w:val="0"/>
            <w:autoSpaceDN w:val="0"/>
            <w:ind w:hanging="480"/>
            <w:jc w:val="both"/>
            <w:divId w:val="1051615710"/>
            <w:rPr>
              <w:rFonts w:eastAsia="Times New Roman"/>
              <w:color w:val="000000"/>
            </w:rPr>
          </w:pPr>
          <w:proofErr w:type="gramStart"/>
          <w:r w:rsidRPr="00B00617">
            <w:rPr>
              <w:rFonts w:eastAsia="Times New Roman"/>
              <w:color w:val="000000"/>
            </w:rPr>
            <w:t>Wilantari, R. N., &amp; Afriani, I. H. (2021).</w:t>
          </w:r>
          <w:proofErr w:type="gramEnd"/>
          <w:r w:rsidRPr="00B00617">
            <w:rPr>
              <w:rFonts w:eastAsia="Times New Roman"/>
              <w:color w:val="000000"/>
            </w:rPr>
            <w:t xml:space="preserve"> Monetary and fiscal policy mix connectivity towards the business cycle in Indonesia. </w:t>
          </w:r>
          <w:r w:rsidRPr="00B00617">
            <w:rPr>
              <w:rFonts w:eastAsia="Times New Roman"/>
              <w:i/>
              <w:iCs/>
              <w:color w:val="000000"/>
            </w:rPr>
            <w:t>Jurnal Perspektif Pembiayaan Dan Pembangunan Daerah</w:t>
          </w:r>
          <w:r w:rsidRPr="00B00617">
            <w:rPr>
              <w:rFonts w:eastAsia="Times New Roman"/>
              <w:color w:val="000000"/>
            </w:rPr>
            <w:t xml:space="preserve">, </w:t>
          </w:r>
          <w:r w:rsidRPr="00B00617">
            <w:rPr>
              <w:rFonts w:eastAsia="Times New Roman"/>
              <w:i/>
              <w:iCs/>
              <w:color w:val="000000"/>
            </w:rPr>
            <w:t>9</w:t>
          </w:r>
          <w:r w:rsidRPr="00B00617">
            <w:rPr>
              <w:rFonts w:eastAsia="Times New Roman"/>
              <w:color w:val="000000"/>
            </w:rPr>
            <w:t xml:space="preserve">(2), 139–152. </w:t>
          </w:r>
          <w:hyperlink r:id="rId50" w:history="1">
            <w:r w:rsidR="00C213FC" w:rsidRPr="002E2C48">
              <w:rPr>
                <w:rStyle w:val="Hyperlink"/>
                <w:rFonts w:eastAsia="Times New Roman"/>
              </w:rPr>
              <w:t>https://doi.org/10.22437/ppd.v9i2.11489</w:t>
            </w:r>
          </w:hyperlink>
          <w:r w:rsidR="00C213FC">
            <w:rPr>
              <w:rFonts w:eastAsia="Times New Roman"/>
              <w:color w:val="000000"/>
            </w:rPr>
            <w:t xml:space="preserve"> </w:t>
          </w:r>
        </w:p>
        <w:p w14:paraId="4DCF119A" w14:textId="77777777" w:rsidR="00B00617" w:rsidRPr="00B00617" w:rsidRDefault="00B00617" w:rsidP="00B00617">
          <w:pPr>
            <w:autoSpaceDE w:val="0"/>
            <w:autoSpaceDN w:val="0"/>
            <w:ind w:hanging="480"/>
            <w:jc w:val="both"/>
            <w:divId w:val="324742482"/>
            <w:rPr>
              <w:rFonts w:eastAsia="Times New Roman"/>
              <w:color w:val="000000"/>
            </w:rPr>
          </w:pPr>
          <w:r w:rsidRPr="00B00617">
            <w:rPr>
              <w:rFonts w:eastAsia="Times New Roman"/>
              <w:color w:val="000000"/>
            </w:rPr>
            <w:t xml:space="preserve">Woodford, Michael. (2009). </w:t>
          </w:r>
          <w:r w:rsidRPr="00B00617">
            <w:rPr>
              <w:rFonts w:eastAsia="Times New Roman"/>
              <w:i/>
              <w:iCs/>
              <w:color w:val="000000"/>
            </w:rPr>
            <w:t>Interest and Prices : Foundations of a Theory of Monetary Policy</w:t>
          </w:r>
          <w:r w:rsidRPr="00B00617">
            <w:rPr>
              <w:rFonts w:eastAsia="Times New Roman"/>
              <w:color w:val="000000"/>
            </w:rPr>
            <w:t xml:space="preserve">. </w:t>
          </w:r>
          <w:proofErr w:type="gramStart"/>
          <w:r w:rsidRPr="00B00617">
            <w:rPr>
              <w:rFonts w:eastAsia="Times New Roman"/>
              <w:color w:val="000000"/>
            </w:rPr>
            <w:t>Princeton University Press.</w:t>
          </w:r>
          <w:proofErr w:type="gramEnd"/>
        </w:p>
        <w:p w14:paraId="50FDDD6A" w14:textId="1BE32BCC" w:rsidR="0006485B" w:rsidRPr="00534BE1" w:rsidRDefault="00B00617" w:rsidP="00B00617">
          <w:pPr>
            <w:pStyle w:val="HTMLPreformatted"/>
            <w:jc w:val="both"/>
            <w:rPr>
              <w:color w:val="000000"/>
            </w:rPr>
          </w:pPr>
          <w:r w:rsidRPr="00B00617">
            <w:rPr>
              <w:rFonts w:ascii="Times New Roman" w:hAnsi="Times New Roman"/>
              <w:color w:val="000000"/>
              <w:sz w:val="22"/>
            </w:rPr>
            <w:t> </w:t>
          </w:r>
        </w:p>
      </w:sdtContent>
    </w:sdt>
    <w:sectPr w:rsidR="0006485B" w:rsidRPr="00534BE1" w:rsidSect="006A2CCC">
      <w:headerReference w:type="even" r:id="rId51"/>
      <w:headerReference w:type="default" r:id="rId52"/>
      <w:footerReference w:type="even" r:id="rId53"/>
      <w:footerReference w:type="default" r:id="rId54"/>
      <w:headerReference w:type="first" r:id="rId55"/>
      <w:footerReference w:type="first" r:id="rId56"/>
      <w:pgSz w:w="11907" w:h="16839"/>
      <w:pgMar w:top="1134" w:right="1134" w:bottom="1134" w:left="1701" w:header="709" w:footer="709" w:gutter="0"/>
      <w:pgNumType w:start="95"/>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9D07B0" w15:done="0"/>
  <w15:commentEx w15:paraId="4E44116C" w15:done="0"/>
  <w15:commentEx w15:paraId="2EBDBA87" w15:done="0"/>
  <w15:commentEx w15:paraId="417AA9B8" w15:done="0"/>
  <w15:commentEx w15:paraId="7B7597F5" w15:done="0"/>
  <w15:commentEx w15:paraId="535964FD" w15:done="0"/>
  <w15:commentEx w15:paraId="178B3DA8" w15:done="0"/>
  <w15:commentEx w15:paraId="6517D772" w15:done="0"/>
  <w15:commentEx w15:paraId="197840A5" w15:done="0"/>
  <w15:commentEx w15:paraId="2BA866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9EB539" w16cex:dateUtc="2026-02-24T14:12:00Z"/>
  <w16cex:commentExtensible w16cex:durableId="642C2A7A" w16cex:dateUtc="2026-02-24T14:13:00Z"/>
  <w16cex:commentExtensible w16cex:durableId="0ADA0391" w16cex:dateUtc="2026-02-24T14:18:00Z"/>
  <w16cex:commentExtensible w16cex:durableId="707A1027" w16cex:dateUtc="2026-02-24T14:22:00Z"/>
  <w16cex:commentExtensible w16cex:durableId="4BB0BA52" w16cex:dateUtc="2026-02-24T14:23:00Z"/>
  <w16cex:commentExtensible w16cex:durableId="34FFCBB8" w16cex:dateUtc="2026-02-24T14:24:00Z"/>
  <w16cex:commentExtensible w16cex:durableId="36E4F38D" w16cex:dateUtc="2026-02-24T14:24:00Z"/>
  <w16cex:commentExtensible w16cex:durableId="4A0695CA" w16cex:dateUtc="2026-02-24T14:25:00Z"/>
  <w16cex:commentExtensible w16cex:durableId="7BF049E7" w16cex:dateUtc="2026-02-24T14:29:00Z"/>
  <w16cex:commentExtensible w16cex:durableId="6BC9FD1E" w16cex:dateUtc="2026-02-24T14: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9D07B0" w16cid:durableId="7E9EB539"/>
  <w16cid:commentId w16cid:paraId="4E44116C" w16cid:durableId="642C2A7A"/>
  <w16cid:commentId w16cid:paraId="2EBDBA87" w16cid:durableId="0ADA0391"/>
  <w16cid:commentId w16cid:paraId="417AA9B8" w16cid:durableId="707A1027"/>
  <w16cid:commentId w16cid:paraId="7B7597F5" w16cid:durableId="4BB0BA52"/>
  <w16cid:commentId w16cid:paraId="535964FD" w16cid:durableId="34FFCBB8"/>
  <w16cid:commentId w16cid:paraId="178B3DA8" w16cid:durableId="36E4F38D"/>
  <w16cid:commentId w16cid:paraId="6517D772" w16cid:durableId="4A0695CA"/>
  <w16cid:commentId w16cid:paraId="197840A5" w16cid:durableId="7BF049E7"/>
  <w16cid:commentId w16cid:paraId="2BA866C5" w16cid:durableId="6BC9FD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1E491" w14:textId="77777777" w:rsidR="006C60BF" w:rsidRDefault="006C60BF">
      <w:pPr>
        <w:spacing w:after="0" w:line="240" w:lineRule="auto"/>
      </w:pPr>
      <w:r>
        <w:separator/>
      </w:r>
    </w:p>
  </w:endnote>
  <w:endnote w:type="continuationSeparator" w:id="0">
    <w:p w14:paraId="43E45756" w14:textId="77777777" w:rsidR="006C60BF" w:rsidRDefault="006C6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Myriad Pro Light">
    <w:charset w:val="00"/>
    <w:family w:val="swiss"/>
    <w:pitch w:val="default"/>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F8826" w14:textId="77777777" w:rsidR="009F76FA" w:rsidRDefault="009F76FA">
    <w:pPr>
      <w:pStyle w:val="Footer"/>
      <w:rPr>
        <w:sz w:val="20"/>
        <w:szCs w:val="20"/>
      </w:rPr>
    </w:pPr>
  </w:p>
  <w:p w14:paraId="2DB6DD77" w14:textId="77777777" w:rsidR="009F76FA" w:rsidRDefault="009F76FA">
    <w:pPr>
      <w:pStyle w:val="Footer"/>
      <w:jc w:val="right"/>
      <w:rPr>
        <w:sz w:val="20"/>
      </w:rPr>
    </w:pPr>
    <w:r>
      <w:rPr>
        <w:sz w:val="20"/>
        <w:szCs w:val="20"/>
      </w:rPr>
      <w:t xml:space="preserve">Cita Ekonomika: Jurnal Ilmu Ekonomi | Vol. xxx </w:t>
    </w:r>
    <w:r>
      <w:rPr>
        <w:sz w:val="20"/>
      </w:rPr>
      <w:t xml:space="preserve">| </w:t>
    </w:r>
    <w:r>
      <w:rPr>
        <w:sz w:val="20"/>
      </w:rPr>
      <w:fldChar w:fldCharType="begin"/>
    </w:r>
    <w:r>
      <w:rPr>
        <w:sz w:val="20"/>
      </w:rPr>
      <w:instrText xml:space="preserve"> PAGE   \* MERGEFORMAT </w:instrText>
    </w:r>
    <w:r>
      <w:rPr>
        <w:sz w:val="20"/>
      </w:rPr>
      <w:fldChar w:fldCharType="separate"/>
    </w:r>
    <w:r w:rsidRPr="00022A16">
      <w:rPr>
        <w:noProof/>
        <w:sz w:val="20"/>
        <w:lang w:val="en-ID" w:eastAsia="en-ID"/>
      </w:rPr>
      <w:t>170</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B3ACA" w14:textId="77777777" w:rsidR="009F76FA" w:rsidRDefault="009F76FA">
    <w:pPr>
      <w:pStyle w:val="Footer"/>
      <w:jc w:val="right"/>
      <w:rPr>
        <w:sz w:val="20"/>
        <w:szCs w:val="20"/>
      </w:rPr>
    </w:pPr>
  </w:p>
  <w:p w14:paraId="65DB29CD" w14:textId="77777777" w:rsidR="009F76FA" w:rsidRDefault="009F76FA">
    <w:pPr>
      <w:pStyle w:val="Footer"/>
      <w:jc w:val="right"/>
      <w:rPr>
        <w:sz w:val="20"/>
      </w:rPr>
    </w:pPr>
    <w:r>
      <w:rPr>
        <w:sz w:val="20"/>
        <w:szCs w:val="20"/>
      </w:rPr>
      <w:t xml:space="preserve">Sodality: Jurnal Sosiologi Pedesaan | Vol. 16 (01) 2020 </w:t>
    </w:r>
    <w:r>
      <w:rPr>
        <w:sz w:val="20"/>
      </w:rPr>
      <w:t xml:space="preserve">| </w:t>
    </w:r>
    <w:r>
      <w:rPr>
        <w:sz w:val="20"/>
      </w:rPr>
      <w:fldChar w:fldCharType="begin"/>
    </w:r>
    <w:r>
      <w:rPr>
        <w:sz w:val="20"/>
      </w:rPr>
      <w:instrText xml:space="preserve"> PAGE   \* MERGEFORMAT </w:instrText>
    </w:r>
    <w:r>
      <w:rPr>
        <w:sz w:val="20"/>
      </w:rPr>
      <w:fldChar w:fldCharType="separate"/>
    </w:r>
    <w:r>
      <w:rPr>
        <w:sz w:val="20"/>
        <w:lang w:val="en-ID" w:eastAsia="en-ID"/>
      </w:rPr>
      <w:t>171</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FD786" w14:textId="77777777" w:rsidR="009F76FA" w:rsidRPr="00F43044" w:rsidRDefault="009F76FA" w:rsidP="00F43044">
    <w:pPr>
      <w:spacing w:after="0"/>
      <w:jc w:val="both"/>
      <w:rPr>
        <w:sz w:val="18"/>
        <w:szCs w:val="18"/>
      </w:rPr>
    </w:pPr>
    <w:r>
      <w:rPr>
        <w:noProof/>
        <w:sz w:val="18"/>
        <w:szCs w:val="18"/>
      </w:rPr>
      <w:drawing>
        <wp:anchor distT="0" distB="0" distL="114300" distR="114300" simplePos="0" relativeHeight="251664384" behindDoc="1" locked="0" layoutInCell="1" allowOverlap="1" wp14:anchorId="67A49CE2" wp14:editId="31237D44">
          <wp:simplePos x="0" y="0"/>
          <wp:positionH relativeFrom="column">
            <wp:posOffset>0</wp:posOffset>
          </wp:positionH>
          <wp:positionV relativeFrom="paragraph">
            <wp:posOffset>2540</wp:posOffset>
          </wp:positionV>
          <wp:extent cx="1219200" cy="419100"/>
          <wp:effectExtent l="0" t="0" r="0" b="0"/>
          <wp:wrapTight wrapText="bothSides">
            <wp:wrapPolygon edited="0">
              <wp:start x="0" y="0"/>
              <wp:lineTo x="0" y="20945"/>
              <wp:lineTo x="21375" y="20945"/>
              <wp:lineTo x="21375" y="0"/>
              <wp:lineTo x="0" y="0"/>
            </wp:wrapPolygon>
          </wp:wrapTight>
          <wp:docPr id="1785314350" name="Picture 17853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y-nd.png"/>
                  <pic:cNvPicPr/>
                </pic:nvPicPr>
                <pic:blipFill>
                  <a:blip r:embed="rId1">
                    <a:extLst>
                      <a:ext uri="{28A0092B-C50C-407E-A947-70E740481C1C}">
                        <a14:useLocalDpi xmlns:a14="http://schemas.microsoft.com/office/drawing/2010/main" val="0"/>
                      </a:ext>
                    </a:extLst>
                  </a:blip>
                  <a:stretch>
                    <a:fillRect/>
                  </a:stretch>
                </pic:blipFill>
                <pic:spPr>
                  <a:xfrm>
                    <a:off x="0" y="0"/>
                    <a:ext cx="1219200" cy="419100"/>
                  </a:xfrm>
                  <a:prstGeom prst="rect">
                    <a:avLst/>
                  </a:prstGeom>
                </pic:spPr>
              </pic:pic>
            </a:graphicData>
          </a:graphic>
          <wp14:sizeRelH relativeFrom="page">
            <wp14:pctWidth>0</wp14:pctWidth>
          </wp14:sizeRelH>
          <wp14:sizeRelV relativeFrom="page">
            <wp14:pctHeight>0</wp14:pctHeight>
          </wp14:sizeRelV>
        </wp:anchor>
      </w:drawing>
    </w:r>
    <w:r>
      <w:rPr>
        <w:sz w:val="18"/>
        <w:szCs w:val="18"/>
      </w:rPr>
      <w:t xml:space="preserve">Content from this work may be used under the terms of the Creative Commons Attribution-ShareAlike 4.0 International. Any further distributionof this work must maintain attribution to the author(s) and the title of the work, journal citation and DOI. Published under Department of Economic Development, FEB Pattimura University. </w:t>
    </w:r>
    <w:r w:rsidRPr="00F43044">
      <w:rPr>
        <w:rFonts w:eastAsia="Arial"/>
        <w:color w:val="111111"/>
        <w:sz w:val="18"/>
        <w:szCs w:val="18"/>
        <w:highlight w:val="white"/>
      </w:rPr>
      <w:t>P-ISSN: 1978-3612, E-ISSN:  2775-3328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2E0A2" w14:textId="6C050B11" w:rsidR="009F76FA" w:rsidRDefault="009F76FA">
    <w:pPr>
      <w:pStyle w:val="Footer"/>
      <w:jc w:val="right"/>
    </w:pPr>
    <w:r>
      <w:rPr>
        <w:rFonts w:eastAsia="Times New Roman"/>
        <w:color w:val="000000"/>
        <w:sz w:val="20"/>
        <w:szCs w:val="20"/>
      </w:rPr>
      <w:t xml:space="preserve">Cita Ekonomika: Jurnal Ilmu Ekonomi </w:t>
    </w:r>
    <w:r>
      <w:rPr>
        <w:sz w:val="20"/>
        <w:szCs w:val="20"/>
      </w:rPr>
      <w:t xml:space="preserve">| Vol. 19 (2) 2025 | </w:t>
    </w:r>
    <w:r w:rsidRPr="00D724F0">
      <w:rPr>
        <w:sz w:val="20"/>
      </w:rPr>
      <w:fldChar w:fldCharType="begin"/>
    </w:r>
    <w:r w:rsidRPr="00D724F0">
      <w:rPr>
        <w:sz w:val="20"/>
      </w:rPr>
      <w:instrText xml:space="preserve"> PAGE   \* MERGEFORMAT </w:instrText>
    </w:r>
    <w:r w:rsidRPr="00D724F0">
      <w:rPr>
        <w:sz w:val="20"/>
      </w:rPr>
      <w:fldChar w:fldCharType="separate"/>
    </w:r>
    <w:r w:rsidR="006A2CCC">
      <w:rPr>
        <w:noProof/>
        <w:sz w:val="20"/>
      </w:rPr>
      <w:t>110</w:t>
    </w:r>
    <w:r w:rsidRPr="00D724F0">
      <w:rP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3A624" w14:textId="47A1950B" w:rsidR="009F76FA" w:rsidRDefault="009F76FA">
    <w:pPr>
      <w:pStyle w:val="Footer"/>
      <w:jc w:val="right"/>
    </w:pPr>
    <w:r>
      <w:rPr>
        <w:rFonts w:eastAsia="Times New Roman"/>
        <w:color w:val="000000"/>
        <w:sz w:val="20"/>
        <w:szCs w:val="20"/>
      </w:rPr>
      <w:t xml:space="preserve">Cita Ekonomika: Jurnal Ilmu Ekonomi </w:t>
    </w:r>
    <w:r>
      <w:rPr>
        <w:sz w:val="20"/>
        <w:szCs w:val="20"/>
      </w:rPr>
      <w:t xml:space="preserve">| Vol. 19 (2) 2025 </w:t>
    </w:r>
    <w:r>
      <w:rPr>
        <w:sz w:val="20"/>
      </w:rPr>
      <w:t>|</w:t>
    </w:r>
    <w:r>
      <w:t xml:space="preserve"> </w:t>
    </w:r>
    <w:r w:rsidRPr="00D724F0">
      <w:rPr>
        <w:sz w:val="20"/>
      </w:rPr>
      <w:fldChar w:fldCharType="begin"/>
    </w:r>
    <w:r w:rsidRPr="00D724F0">
      <w:rPr>
        <w:sz w:val="20"/>
      </w:rPr>
      <w:instrText xml:space="preserve"> PAGE   \* MERGEFORMAT </w:instrText>
    </w:r>
    <w:r w:rsidRPr="00D724F0">
      <w:rPr>
        <w:sz w:val="20"/>
      </w:rPr>
      <w:fldChar w:fldCharType="separate"/>
    </w:r>
    <w:r w:rsidR="006A2CCC">
      <w:rPr>
        <w:noProof/>
        <w:sz w:val="20"/>
      </w:rPr>
      <w:t>109</w:t>
    </w:r>
    <w:r w:rsidRPr="00D724F0">
      <w:rPr>
        <w:sz w:val="20"/>
      </w:rP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ADC48" w14:textId="77777777" w:rsidR="009F76FA" w:rsidRDefault="009F76FA">
    <w:pPr>
      <w:pStyle w:val="Footer"/>
      <w:jc w:val="right"/>
      <w:rPr>
        <w:sz w:val="18"/>
      </w:rPr>
    </w:pPr>
    <w:r>
      <w:rPr>
        <w:sz w:val="20"/>
        <w:szCs w:val="20"/>
      </w:rPr>
      <w:t>Sodality: Jurnal Sosiologi Pedesaan | Maret 2020 |</w:t>
    </w:r>
    <w:r>
      <w:rPr>
        <w:sz w:val="18"/>
      </w:rPr>
      <w:fldChar w:fldCharType="begin"/>
    </w:r>
    <w:r>
      <w:rPr>
        <w:sz w:val="18"/>
      </w:rPr>
      <w:instrText xml:space="preserve"> PAGE   \* MERGEFORMAT </w:instrText>
    </w:r>
    <w:r>
      <w:rPr>
        <w:sz w:val="18"/>
      </w:rPr>
      <w:fldChar w:fldCharType="separate"/>
    </w:r>
    <w:r>
      <w:rPr>
        <w:sz w:val="18"/>
        <w:lang w:val="en-ID" w:eastAsia="en-ID"/>
      </w:rPr>
      <w:t>1</w:t>
    </w:r>
    <w:r>
      <w:rPr>
        <w:sz w:val="18"/>
        <w:lang w:val="en-ID" w:eastAsia="en-ID"/>
      </w:rPr>
      <w:fldChar w:fldCharType="end"/>
    </w:r>
  </w:p>
  <w:p w14:paraId="133185A9" w14:textId="77777777" w:rsidR="009F76FA" w:rsidRDefault="009F76FA">
    <w:pPr>
      <w:pStyle w:val="Footer"/>
      <w:tabs>
        <w:tab w:val="clear" w:pos="4680"/>
        <w:tab w:val="clear" w:pos="9360"/>
        <w:tab w:val="left" w:pos="8070"/>
      </w:tabs>
      <w:rPr>
        <w:sz w:val="18"/>
      </w:rPr>
    </w:pP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23EAF" w14:textId="77777777" w:rsidR="006C60BF" w:rsidRDefault="006C60BF">
      <w:pPr>
        <w:spacing w:after="0" w:line="240" w:lineRule="auto"/>
      </w:pPr>
      <w:r>
        <w:separator/>
      </w:r>
    </w:p>
  </w:footnote>
  <w:footnote w:type="continuationSeparator" w:id="0">
    <w:p w14:paraId="6F6FF746" w14:textId="77777777" w:rsidR="006C60BF" w:rsidRDefault="006C60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AFE8C" w14:textId="77777777" w:rsidR="009F76FA" w:rsidRDefault="009F76FA" w:rsidP="00984513">
    <w:pPr>
      <w:pStyle w:val="Header"/>
      <w:jc w:val="right"/>
      <w:rPr>
        <w:sz w:val="16"/>
        <w:szCs w:val="16"/>
        <w:lang w:val="id-ID"/>
      </w:rPr>
    </w:pPr>
    <w:r>
      <w:rPr>
        <w:noProof/>
      </w:rPr>
      <w:drawing>
        <wp:anchor distT="0" distB="0" distL="114300" distR="114300" simplePos="0" relativeHeight="251657216" behindDoc="1" locked="0" layoutInCell="1" allowOverlap="1" wp14:anchorId="4AAE07AC" wp14:editId="11693DE9">
          <wp:simplePos x="0" y="0"/>
          <wp:positionH relativeFrom="column">
            <wp:posOffset>0</wp:posOffset>
          </wp:positionH>
          <wp:positionV relativeFrom="paragraph">
            <wp:posOffset>-109220</wp:posOffset>
          </wp:positionV>
          <wp:extent cx="1548765" cy="579120"/>
          <wp:effectExtent l="19050" t="0" r="0" b="0"/>
          <wp:wrapSquare wrapText="bothSides"/>
          <wp:docPr id="10689745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r="73672"/>
                  <a:stretch>
                    <a:fillRect/>
                  </a:stretch>
                </pic:blipFill>
                <pic:spPr bwMode="auto">
                  <a:xfrm>
                    <a:off x="0" y="0"/>
                    <a:ext cx="1548765" cy="579120"/>
                  </a:xfrm>
                  <a:prstGeom prst="rect">
                    <a:avLst/>
                  </a:prstGeom>
                  <a:noFill/>
                  <a:ln w="9525">
                    <a:noFill/>
                    <a:miter lim="800000"/>
                    <a:headEnd/>
                    <a:tailEnd/>
                  </a:ln>
                </pic:spPr>
              </pic:pic>
            </a:graphicData>
          </a:graphic>
        </wp:anchor>
      </w:drawing>
    </w:r>
    <w:r>
      <w:rPr>
        <w:sz w:val="16"/>
        <w:szCs w:val="16"/>
      </w:rPr>
      <w:t xml:space="preserve">Sodality: Jurnal Sosiologi Pedesaan </w:t>
    </w:r>
    <w:proofErr w:type="gramStart"/>
    <w:r>
      <w:rPr>
        <w:sz w:val="16"/>
        <w:szCs w:val="16"/>
      </w:rPr>
      <w:t>Vol.</w:t>
    </w:r>
    <w:r>
      <w:rPr>
        <w:sz w:val="16"/>
        <w:szCs w:val="16"/>
        <w:lang w:val="id-ID"/>
      </w:rPr>
      <w:t>XX</w:t>
    </w:r>
    <w:r>
      <w:rPr>
        <w:sz w:val="16"/>
        <w:szCs w:val="16"/>
      </w:rPr>
      <w:t>(</w:t>
    </w:r>
    <w:proofErr w:type="gramEnd"/>
    <w:r>
      <w:rPr>
        <w:sz w:val="16"/>
        <w:szCs w:val="16"/>
        <w:lang w:val="id-ID"/>
      </w:rPr>
      <w:t>XX</w:t>
    </w:r>
    <w:r>
      <w:rPr>
        <w:sz w:val="16"/>
        <w:szCs w:val="16"/>
        <w:lang w:val="zh-CN"/>
      </w:rPr>
      <w:t>) 2020</w:t>
    </w:r>
    <w:r>
      <w:rPr>
        <w:sz w:val="16"/>
        <w:szCs w:val="16"/>
      </w:rPr>
      <w:t xml:space="preserve"> | 1-1</w:t>
    </w:r>
    <w:r>
      <w:rPr>
        <w:sz w:val="16"/>
        <w:szCs w:val="16"/>
        <w:lang w:val="id-ID"/>
      </w:rPr>
      <w:t>5</w:t>
    </w:r>
  </w:p>
  <w:p w14:paraId="53B429E8" w14:textId="77777777" w:rsidR="009F76FA" w:rsidRDefault="009F76FA" w:rsidP="00984513">
    <w:pPr>
      <w:pStyle w:val="Header"/>
      <w:jc w:val="right"/>
      <w:rPr>
        <w:sz w:val="16"/>
        <w:szCs w:val="16"/>
      </w:rPr>
    </w:pPr>
    <w:r>
      <w:rPr>
        <w:sz w:val="16"/>
        <w:szCs w:val="16"/>
      </w:rPr>
      <w:t>DOI: XXXX</w:t>
    </w:r>
  </w:p>
  <w:p w14:paraId="41B89C99" w14:textId="77777777" w:rsidR="009F76FA" w:rsidRDefault="009F76FA" w:rsidP="00984513">
    <w:pPr>
      <w:pStyle w:val="Header"/>
      <w:jc w:val="right"/>
      <w:rPr>
        <w:sz w:val="16"/>
        <w:szCs w:val="16"/>
      </w:rPr>
    </w:pPr>
  </w:p>
  <w:p w14:paraId="625C61F6" w14:textId="77777777" w:rsidR="009F76FA" w:rsidRDefault="009F76FA">
    <w:pPr>
      <w:pStyle w:val="Header"/>
    </w:pPr>
    <w:r>
      <w:rPr>
        <w:noProof/>
      </w:rPr>
      <mc:AlternateContent>
        <mc:Choice Requires="wps">
          <w:drawing>
            <wp:anchor distT="4294967294" distB="4294967294" distL="114300" distR="114300" simplePos="0" relativeHeight="251658240" behindDoc="0" locked="0" layoutInCell="1" allowOverlap="1" wp14:anchorId="0D78C0C1" wp14:editId="6C876CED">
              <wp:simplePos x="0" y="0"/>
              <wp:positionH relativeFrom="column">
                <wp:posOffset>-5715</wp:posOffset>
              </wp:positionH>
              <wp:positionV relativeFrom="paragraph">
                <wp:posOffset>121919</wp:posOffset>
              </wp:positionV>
              <wp:extent cx="5924550" cy="0"/>
              <wp:effectExtent l="38100" t="38100" r="19050" b="7620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4550" cy="0"/>
                      </a:xfrm>
                      <a:prstGeom prst="line">
                        <a:avLst/>
                      </a:prstGeom>
                      <a:ln>
                        <a:solidFill>
                          <a:srgbClr val="014079"/>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450D8E"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5pt,9.6pt" to="466.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" strokecolor="#014079" strokeweight="3pt">
              <v:shadow on="t" color="black" opacity="22937f" origin=",.5" offset="0,.63889mm"/>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15474" w14:textId="73770F49" w:rsidR="009F76FA" w:rsidRDefault="009F76FA" w:rsidP="00A85252">
    <w:pPr>
      <w:pBdr>
        <w:top w:val="nil"/>
        <w:left w:val="nil"/>
        <w:bottom w:val="nil"/>
        <w:right w:val="nil"/>
        <w:between w:val="nil"/>
      </w:pBdr>
      <w:tabs>
        <w:tab w:val="center" w:pos="4680"/>
        <w:tab w:val="right" w:pos="9360"/>
      </w:tabs>
      <w:spacing w:after="0" w:line="240" w:lineRule="auto"/>
      <w:jc w:val="right"/>
      <w:rPr>
        <w:color w:val="000000"/>
        <w:sz w:val="20"/>
        <w:szCs w:val="20"/>
      </w:rPr>
    </w:pPr>
    <w:r>
      <w:rPr>
        <w:rFonts w:eastAsia="Times New Roman"/>
        <w:noProof/>
        <w:color w:val="000000"/>
        <w:sz w:val="20"/>
        <w:szCs w:val="20"/>
      </w:rPr>
      <w:drawing>
        <wp:anchor distT="0" distB="0" distL="114300" distR="114300" simplePos="0" relativeHeight="251663360" behindDoc="0" locked="0" layoutInCell="1" allowOverlap="1" wp14:anchorId="226A9E82" wp14:editId="6F4FB5F8">
          <wp:simplePos x="0" y="0"/>
          <wp:positionH relativeFrom="column">
            <wp:posOffset>50465</wp:posOffset>
          </wp:positionH>
          <wp:positionV relativeFrom="paragraph">
            <wp:posOffset>-286719</wp:posOffset>
          </wp:positionV>
          <wp:extent cx="770021" cy="551796"/>
          <wp:effectExtent l="0" t="0" r="5080" b="0"/>
          <wp:wrapNone/>
          <wp:docPr id="1275261807" name="Picture 12752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itek.jpg"/>
                  <pic:cNvPicPr/>
                </pic:nvPicPr>
                <pic:blipFill>
                  <a:blip r:embed="rId1">
                    <a:extLst>
                      <a:ext uri="{28A0092B-C50C-407E-A947-70E740481C1C}">
                        <a14:useLocalDpi xmlns:a14="http://schemas.microsoft.com/office/drawing/2010/main" val="0"/>
                      </a:ext>
                    </a:extLst>
                  </a:blip>
                  <a:stretch>
                    <a:fillRect/>
                  </a:stretch>
                </pic:blipFill>
                <pic:spPr>
                  <a:xfrm>
                    <a:off x="0" y="0"/>
                    <a:ext cx="770021" cy="551796"/>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olor w:val="000000"/>
        <w:sz w:val="20"/>
        <w:szCs w:val="20"/>
      </w:rPr>
      <w:t xml:space="preserve">Cita Ekonomika: Jurnal Ilmu Ekonomi. Vol. 19 (2) 2025 | </w:t>
    </w:r>
    <w:r w:rsidR="006A2CCC">
      <w:rPr>
        <w:rFonts w:eastAsia="Times New Roman"/>
        <w:color w:val="000000"/>
        <w:sz w:val="20"/>
        <w:szCs w:val="20"/>
      </w:rPr>
      <w:t>94</w:t>
    </w:r>
    <w:r>
      <w:rPr>
        <w:rFonts w:eastAsia="Times New Roman"/>
        <w:color w:val="000000"/>
        <w:sz w:val="20"/>
        <w:szCs w:val="20"/>
      </w:rPr>
      <w:t>-</w:t>
    </w:r>
    <w:r w:rsidR="006A2CCC">
      <w:rPr>
        <w:rFonts w:eastAsia="Times New Roman"/>
        <w:color w:val="000000"/>
        <w:sz w:val="20"/>
        <w:szCs w:val="20"/>
      </w:rPr>
      <w:t>110</w:t>
    </w:r>
  </w:p>
  <w:p w14:paraId="0961B5A5" w14:textId="77777777" w:rsidR="009F76FA" w:rsidRDefault="009F76FA" w:rsidP="00A85252">
    <w:pPr>
      <w:pBdr>
        <w:top w:val="nil"/>
        <w:left w:val="nil"/>
        <w:bottom w:val="nil"/>
        <w:right w:val="nil"/>
        <w:between w:val="nil"/>
      </w:pBdr>
      <w:tabs>
        <w:tab w:val="center" w:pos="4680"/>
        <w:tab w:val="right" w:pos="9360"/>
      </w:tabs>
      <w:spacing w:after="0" w:line="240" w:lineRule="auto"/>
      <w:jc w:val="right"/>
      <w:rPr>
        <w:color w:val="000000"/>
        <w:sz w:val="20"/>
        <w:szCs w:val="20"/>
      </w:rPr>
    </w:pPr>
    <w:r>
      <w:rPr>
        <w:rFonts w:eastAsia="Times New Roman"/>
        <w:color w:val="000000"/>
        <w:sz w:val="20"/>
        <w:szCs w:val="20"/>
      </w:rPr>
      <w:t>https://doi.org/xxxxxxxxxxx</w:t>
    </w:r>
  </w:p>
  <w:p w14:paraId="048223B5" w14:textId="77777777" w:rsidR="009F76FA" w:rsidRDefault="009F76FA">
    <w:pPr>
      <w:pStyle w:val="Header"/>
    </w:pPr>
    <w:r>
      <w:rPr>
        <w:noProof/>
      </w:rPr>
      <mc:AlternateContent>
        <mc:Choice Requires="wps">
          <w:drawing>
            <wp:anchor distT="4294967295" distB="4294967295" distL="114300" distR="114300" simplePos="0" relativeHeight="251656192" behindDoc="0" locked="0" layoutInCell="1" allowOverlap="1" wp14:anchorId="6004D5A4" wp14:editId="3484D9CF">
              <wp:simplePos x="0" y="0"/>
              <wp:positionH relativeFrom="column">
                <wp:posOffset>7620</wp:posOffset>
              </wp:positionH>
              <wp:positionV relativeFrom="paragraph">
                <wp:posOffset>19685</wp:posOffset>
              </wp:positionV>
              <wp:extent cx="5924550" cy="0"/>
              <wp:effectExtent l="0" t="12700" r="635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4550" cy="0"/>
                      </a:xfrm>
                      <a:prstGeom prst="line">
                        <a:avLst/>
                      </a:prstGeom>
                      <a:noFill/>
                      <a:ln w="19050">
                        <a:solidFill>
                          <a:srgbClr val="F4B083"/>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6F2D66" id="Straight Connector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1.55pt" to="467.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" strokecolor="#f4b083"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0F34A" w14:textId="77777777" w:rsidR="009F76FA" w:rsidRDefault="009F76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02A9D" w14:textId="77777777" w:rsidR="009F76FA" w:rsidRDefault="009F76F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12EAB" w14:textId="77777777" w:rsidR="009F76FA" w:rsidRDefault="009F76FA">
    <w:pPr>
      <w:pStyle w:val="Header"/>
    </w:pPr>
    <w:r>
      <w:rPr>
        <w:noProof/>
      </w:rPr>
      <mc:AlternateContent>
        <mc:Choice Requires="wps">
          <w:drawing>
            <wp:anchor distT="0" distB="0" distL="114300" distR="114300" simplePos="0" relativeHeight="251654144" behindDoc="1" locked="0" layoutInCell="1" allowOverlap="1" wp14:anchorId="39897A83" wp14:editId="6A2DC123">
              <wp:simplePos x="0" y="0"/>
              <wp:positionH relativeFrom="column">
                <wp:posOffset>-3810</wp:posOffset>
              </wp:positionH>
              <wp:positionV relativeFrom="paragraph">
                <wp:posOffset>-154940</wp:posOffset>
              </wp:positionV>
              <wp:extent cx="1714500" cy="46863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468630"/>
                      </a:xfrm>
                      <a:prstGeom prst="rect">
                        <a:avLst/>
                      </a:prstGeom>
                      <a:solidFill>
                        <a:srgbClr val="0140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542068" id="Rectangle 20" o:spid="_x0000_s1026" style="position:absolute;margin-left:-.3pt;margin-top:-12.2pt;width:135pt;height:3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" fillcolor="#014079" stroked="f" strokeweight="2pt"/>
          </w:pict>
        </mc:Fallback>
      </mc:AlternateContent>
    </w:r>
    <w:r>
      <w:rPr>
        <w:noProof/>
      </w:rPr>
      <mc:AlternateContent>
        <mc:Choice Requires="wps">
          <w:drawing>
            <wp:anchor distT="45720" distB="45720" distL="114300" distR="114300" simplePos="0" relativeHeight="251655168" behindDoc="0" locked="0" layoutInCell="1" allowOverlap="1" wp14:anchorId="78575BD7" wp14:editId="4A6B382C">
              <wp:simplePos x="0" y="0"/>
              <wp:positionH relativeFrom="column">
                <wp:posOffset>91440</wp:posOffset>
              </wp:positionH>
              <wp:positionV relativeFrom="paragraph">
                <wp:posOffset>-78740</wp:posOffset>
              </wp:positionV>
              <wp:extent cx="1590675"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0675" cy="314325"/>
                      </a:xfrm>
                      <a:prstGeom prst="rect">
                        <a:avLst/>
                      </a:prstGeom>
                      <a:solidFill>
                        <a:srgbClr val="014079"/>
                      </a:solidFill>
                      <a:ln w="9525">
                        <a:noFill/>
                        <a:miter lim="800000"/>
                        <a:headEnd/>
                        <a:tailEnd/>
                      </a:ln>
                    </wps:spPr>
                    <wps:txbx>
                      <w:txbxContent>
                        <w:p w14:paraId="68277913" w14:textId="77777777" w:rsidR="009F76FA" w:rsidRDefault="009F76FA">
                          <w:pPr>
                            <w:rPr>
                              <w:rFonts w:ascii="Myriad Pro Light" w:hAnsi="Myriad Pro Light" w:cs="Arial"/>
                              <w:b/>
                              <w:color w:val="FFFFFF"/>
                              <w:sz w:val="28"/>
                              <w:lang w:val="en-ID"/>
                            </w:rPr>
                          </w:pPr>
                          <w:r>
                            <w:rPr>
                              <w:rFonts w:ascii="Myriad Pro Light" w:hAnsi="Myriad Pro Light" w:cs="Arial"/>
                              <w:b/>
                              <w:color w:val="FFFFFF"/>
                              <w:sz w:val="28"/>
                              <w:lang w:val="en-ID"/>
                            </w:rPr>
                            <w:t>PENYULUHAN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575BD7" id="_x0000_t202" coordsize="21600,21600" o:spt="202" path="m,l,21600r21600,l21600,xe">
              <v:stroke joinstyle="miter"/>
              <v:path gradientshapeok="t" o:connecttype="rect"/>
            </v:shapetype>
            <v:shape id="Text Box 2" o:spid="_x0000_s1058" type="#_x0000_t202" style="position:absolute;margin-left:7.2pt;margin-top:-6.2pt;width:125.25pt;height:24.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" fillcolor="#014079" stroked="f">
              <v:textbox>
                <w:txbxContent>
                  <w:p w14:paraId="68277913" w14:textId="77777777" w:rsidR="00665287" w:rsidRDefault="00665287">
                    <w:pPr>
                      <w:rPr>
                        <w:rFonts w:ascii="Myriad Pro Light" w:hAnsi="Myriad Pro Light" w:cs="Arial"/>
                        <w:b/>
                        <w:color w:val="FFFFFF"/>
                        <w:sz w:val="28"/>
                        <w:lang w:val="en-ID"/>
                      </w:rPr>
                    </w:pPr>
                    <w:r>
                      <w:rPr>
                        <w:rFonts w:ascii="Myriad Pro Light" w:hAnsi="Myriad Pro Light" w:cs="Arial"/>
                        <w:b/>
                        <w:color w:val="FFFFFF"/>
                        <w:sz w:val="28"/>
                        <w:lang w:val="en-ID"/>
                      </w:rPr>
                      <w:t>PENYULUHAN</w:t>
                    </w:r>
                  </w:p>
                </w:txbxContent>
              </v:textbox>
              <w10:wrap type="square"/>
            </v:shape>
          </w:pict>
        </mc:Fallback>
      </mc:AlternateContent>
    </w:r>
    <w:r>
      <w:rPr>
        <w:noProof/>
      </w:rPr>
      <mc:AlternateContent>
        <mc:Choice Requires="wps">
          <w:drawing>
            <wp:anchor distT="0" distB="0" distL="114300" distR="114300" simplePos="0" relativeHeight="251653120" behindDoc="1" locked="0" layoutInCell="1" allowOverlap="1" wp14:anchorId="0E56CD93" wp14:editId="33192EDC">
              <wp:simplePos x="0" y="0"/>
              <wp:positionH relativeFrom="column">
                <wp:posOffset>4445</wp:posOffset>
              </wp:positionH>
              <wp:positionV relativeFrom="paragraph">
                <wp:posOffset>225425</wp:posOffset>
              </wp:positionV>
              <wp:extent cx="5913755" cy="83185"/>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755" cy="83185"/>
                      </a:xfrm>
                      <a:prstGeom prst="rect">
                        <a:avLst/>
                      </a:prstGeom>
                      <a:solidFill>
                        <a:srgbClr val="0140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13DF7" id="Rectangle 21" o:spid="_x0000_s1026" style="position:absolute;margin-left:.35pt;margin-top:17.75pt;width:465.65pt;height: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" fillcolor="#014079" stroked="f" strokeweight="2pt"/>
          </w:pict>
        </mc:Fallback>
      </mc:AlternateContent>
    </w:r>
  </w:p>
  <w:p w14:paraId="05283F8D" w14:textId="77777777" w:rsidR="009F76FA" w:rsidRDefault="009F76FA">
    <w:pPr>
      <w:tabs>
        <w:tab w:val="left" w:pos="2127"/>
      </w:tabs>
    </w:pPr>
    <w:r>
      <w:softHyphen/>
    </w:r>
    <w: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6B6"/>
    <w:multiLevelType w:val="hybridMultilevel"/>
    <w:tmpl w:val="D99A7706"/>
    <w:lvl w:ilvl="0" w:tplc="ABFC7168">
      <w:start w:val="1"/>
      <w:numFmt w:val="bullet"/>
      <w:lvlText w:val="-"/>
      <w:lvlJc w:val="left"/>
      <w:pPr>
        <w:ind w:left="360" w:hanging="360"/>
      </w:pPr>
      <w:rPr>
        <w:rFonts w:ascii="Arial" w:hAnsi="Aria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DC2CC9"/>
    <w:multiLevelType w:val="hybridMultilevel"/>
    <w:tmpl w:val="B9C08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F2112"/>
    <w:multiLevelType w:val="hybridMultilevel"/>
    <w:tmpl w:val="D2F6D27C"/>
    <w:lvl w:ilvl="0" w:tplc="07046FD4">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B172B1"/>
    <w:multiLevelType w:val="hybridMultilevel"/>
    <w:tmpl w:val="AF0CF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E31C6"/>
    <w:multiLevelType w:val="hybridMultilevel"/>
    <w:tmpl w:val="8A9C0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F84DDB"/>
    <w:multiLevelType w:val="hybridMultilevel"/>
    <w:tmpl w:val="3EB4D734"/>
    <w:lvl w:ilvl="0" w:tplc="694E716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746ADF"/>
    <w:multiLevelType w:val="hybridMultilevel"/>
    <w:tmpl w:val="9A9CE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169F4"/>
    <w:multiLevelType w:val="hybridMultilevel"/>
    <w:tmpl w:val="1736EC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202B89"/>
    <w:multiLevelType w:val="hybridMultilevel"/>
    <w:tmpl w:val="BBA89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DE78DA"/>
    <w:multiLevelType w:val="hybridMultilevel"/>
    <w:tmpl w:val="9C38B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A06984"/>
    <w:multiLevelType w:val="hybridMultilevel"/>
    <w:tmpl w:val="F24036A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nsid w:val="13A67337"/>
    <w:multiLevelType w:val="multilevel"/>
    <w:tmpl w:val="8B7A5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BE2995"/>
    <w:multiLevelType w:val="hybridMultilevel"/>
    <w:tmpl w:val="7DB4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832EE2"/>
    <w:multiLevelType w:val="hybridMultilevel"/>
    <w:tmpl w:val="9D5C7C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nsid w:val="1E0C6DEE"/>
    <w:multiLevelType w:val="multilevel"/>
    <w:tmpl w:val="41A4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61590D"/>
    <w:multiLevelType w:val="multilevel"/>
    <w:tmpl w:val="CA083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F718E3"/>
    <w:multiLevelType w:val="hybridMultilevel"/>
    <w:tmpl w:val="C58659E0"/>
    <w:lvl w:ilvl="0" w:tplc="ABFC7168">
      <w:start w:val="1"/>
      <w:numFmt w:val="bullet"/>
      <w:lvlText w:val="-"/>
      <w:lvlJc w:val="left"/>
      <w:pPr>
        <w:ind w:left="360" w:hanging="360"/>
      </w:pPr>
      <w:rPr>
        <w:rFonts w:ascii="Arial" w:hAnsi="Aria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nsid w:val="2A926D18"/>
    <w:multiLevelType w:val="hybridMultilevel"/>
    <w:tmpl w:val="3746E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7368FB"/>
    <w:multiLevelType w:val="hybridMultilevel"/>
    <w:tmpl w:val="412A5138"/>
    <w:lvl w:ilvl="0" w:tplc="38090001">
      <w:start w:val="1"/>
      <w:numFmt w:val="bullet"/>
      <w:lvlText w:val=""/>
      <w:lvlJc w:val="left"/>
      <w:pPr>
        <w:ind w:left="360" w:hanging="360"/>
      </w:pPr>
      <w:rPr>
        <w:rFonts w:ascii="Symbol" w:hAnsi="Symbol" w:hint="default"/>
      </w:rPr>
    </w:lvl>
    <w:lvl w:ilvl="1" w:tplc="38090003">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nsid w:val="2D4E5626"/>
    <w:multiLevelType w:val="hybridMultilevel"/>
    <w:tmpl w:val="6D1429E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E5A7C1A"/>
    <w:multiLevelType w:val="hybridMultilevel"/>
    <w:tmpl w:val="99F027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F46E90"/>
    <w:multiLevelType w:val="hybridMultilevel"/>
    <w:tmpl w:val="04268B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A14990"/>
    <w:multiLevelType w:val="hybridMultilevel"/>
    <w:tmpl w:val="6720BD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BB0CB6"/>
    <w:multiLevelType w:val="hybridMultilevel"/>
    <w:tmpl w:val="DA6A9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8E7D85"/>
    <w:multiLevelType w:val="hybridMultilevel"/>
    <w:tmpl w:val="130E7F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21862C7"/>
    <w:multiLevelType w:val="hybridMultilevel"/>
    <w:tmpl w:val="54E89D34"/>
    <w:lvl w:ilvl="0" w:tplc="DF9A9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971711"/>
    <w:multiLevelType w:val="hybridMultilevel"/>
    <w:tmpl w:val="40148B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F90994"/>
    <w:multiLevelType w:val="hybridMultilevel"/>
    <w:tmpl w:val="87043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E60401"/>
    <w:multiLevelType w:val="hybridMultilevel"/>
    <w:tmpl w:val="5DCCC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757269"/>
    <w:multiLevelType w:val="multilevel"/>
    <w:tmpl w:val="487572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4B820B5C"/>
    <w:multiLevelType w:val="multilevel"/>
    <w:tmpl w:val="E910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D91041"/>
    <w:multiLevelType w:val="hybridMultilevel"/>
    <w:tmpl w:val="59EAD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B0643E"/>
    <w:multiLevelType w:val="hybridMultilevel"/>
    <w:tmpl w:val="1FF671D8"/>
    <w:lvl w:ilvl="0" w:tplc="04C2F5A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5C477ED"/>
    <w:multiLevelType w:val="hybridMultilevel"/>
    <w:tmpl w:val="12A834D4"/>
    <w:lvl w:ilvl="0" w:tplc="21DC6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5F4975"/>
    <w:multiLevelType w:val="hybridMultilevel"/>
    <w:tmpl w:val="6A7A4E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A8378F"/>
    <w:multiLevelType w:val="hybridMultilevel"/>
    <w:tmpl w:val="DE609B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D04948"/>
    <w:multiLevelType w:val="hybridMultilevel"/>
    <w:tmpl w:val="0DBC5886"/>
    <w:lvl w:ilvl="0" w:tplc="ABFC7168">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9D5487"/>
    <w:multiLevelType w:val="hybridMultilevel"/>
    <w:tmpl w:val="C4F09D90"/>
    <w:lvl w:ilvl="0" w:tplc="686426B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8">
    <w:nsid w:val="60C35A32"/>
    <w:multiLevelType w:val="hybridMultilevel"/>
    <w:tmpl w:val="84984346"/>
    <w:lvl w:ilvl="0" w:tplc="2EC46A0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6469601C"/>
    <w:multiLevelType w:val="hybridMultilevel"/>
    <w:tmpl w:val="D44E7604"/>
    <w:lvl w:ilvl="0" w:tplc="01DA66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20216D"/>
    <w:multiLevelType w:val="hybridMultilevel"/>
    <w:tmpl w:val="47668D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BD1F7B"/>
    <w:multiLevelType w:val="hybridMultilevel"/>
    <w:tmpl w:val="CC34775A"/>
    <w:lvl w:ilvl="0" w:tplc="09240D02">
      <w:start w:val="1"/>
      <w:numFmt w:val="bullet"/>
      <w:lvlText w:val=""/>
      <w:lvlJc w:val="left"/>
      <w:pPr>
        <w:tabs>
          <w:tab w:val="num" w:pos="720"/>
        </w:tabs>
        <w:ind w:left="720" w:hanging="360"/>
      </w:pPr>
      <w:rPr>
        <w:rFonts w:ascii="Wingdings 3" w:hAnsi="Wingdings 3" w:hint="default"/>
      </w:rPr>
    </w:lvl>
    <w:lvl w:ilvl="1" w:tplc="7A4A0DF6">
      <w:start w:val="1"/>
      <w:numFmt w:val="bullet"/>
      <w:lvlText w:val=""/>
      <w:lvlJc w:val="left"/>
      <w:pPr>
        <w:tabs>
          <w:tab w:val="num" w:pos="1440"/>
        </w:tabs>
        <w:ind w:left="1440" w:hanging="360"/>
      </w:pPr>
      <w:rPr>
        <w:rFonts w:ascii="Wingdings 3" w:hAnsi="Wingdings 3" w:hint="default"/>
      </w:rPr>
    </w:lvl>
    <w:lvl w:ilvl="2" w:tplc="EBD29EB0">
      <w:start w:val="1"/>
      <w:numFmt w:val="bullet"/>
      <w:lvlText w:val=""/>
      <w:lvlJc w:val="left"/>
      <w:pPr>
        <w:tabs>
          <w:tab w:val="num" w:pos="2160"/>
        </w:tabs>
        <w:ind w:left="2160" w:hanging="360"/>
      </w:pPr>
      <w:rPr>
        <w:rFonts w:ascii="Wingdings 3" w:hAnsi="Wingdings 3" w:hint="default"/>
      </w:rPr>
    </w:lvl>
    <w:lvl w:ilvl="3" w:tplc="5FC6A310">
      <w:start w:val="1"/>
      <w:numFmt w:val="bullet"/>
      <w:lvlText w:val=""/>
      <w:lvlJc w:val="left"/>
      <w:pPr>
        <w:tabs>
          <w:tab w:val="num" w:pos="2880"/>
        </w:tabs>
        <w:ind w:left="2880" w:hanging="360"/>
      </w:pPr>
      <w:rPr>
        <w:rFonts w:ascii="Wingdings 3" w:hAnsi="Wingdings 3" w:hint="default"/>
      </w:rPr>
    </w:lvl>
    <w:lvl w:ilvl="4" w:tplc="2BFE2522">
      <w:start w:val="1"/>
      <w:numFmt w:val="bullet"/>
      <w:lvlText w:val=""/>
      <w:lvlJc w:val="left"/>
      <w:pPr>
        <w:tabs>
          <w:tab w:val="num" w:pos="3600"/>
        </w:tabs>
        <w:ind w:left="3600" w:hanging="360"/>
      </w:pPr>
      <w:rPr>
        <w:rFonts w:ascii="Wingdings 3" w:hAnsi="Wingdings 3" w:hint="default"/>
      </w:rPr>
    </w:lvl>
    <w:lvl w:ilvl="5" w:tplc="1624A7C0">
      <w:start w:val="1"/>
      <w:numFmt w:val="bullet"/>
      <w:lvlText w:val=""/>
      <w:lvlJc w:val="left"/>
      <w:pPr>
        <w:tabs>
          <w:tab w:val="num" w:pos="4320"/>
        </w:tabs>
        <w:ind w:left="4320" w:hanging="360"/>
      </w:pPr>
      <w:rPr>
        <w:rFonts w:ascii="Wingdings 3" w:hAnsi="Wingdings 3" w:hint="default"/>
      </w:rPr>
    </w:lvl>
    <w:lvl w:ilvl="6" w:tplc="FE60681E">
      <w:start w:val="1"/>
      <w:numFmt w:val="bullet"/>
      <w:lvlText w:val=""/>
      <w:lvlJc w:val="left"/>
      <w:pPr>
        <w:tabs>
          <w:tab w:val="num" w:pos="5040"/>
        </w:tabs>
        <w:ind w:left="5040" w:hanging="360"/>
      </w:pPr>
      <w:rPr>
        <w:rFonts w:ascii="Wingdings 3" w:hAnsi="Wingdings 3" w:hint="default"/>
      </w:rPr>
    </w:lvl>
    <w:lvl w:ilvl="7" w:tplc="9FB0D2AE">
      <w:start w:val="1"/>
      <w:numFmt w:val="bullet"/>
      <w:lvlText w:val=""/>
      <w:lvlJc w:val="left"/>
      <w:pPr>
        <w:tabs>
          <w:tab w:val="num" w:pos="5760"/>
        </w:tabs>
        <w:ind w:left="5760" w:hanging="360"/>
      </w:pPr>
      <w:rPr>
        <w:rFonts w:ascii="Wingdings 3" w:hAnsi="Wingdings 3" w:hint="default"/>
      </w:rPr>
    </w:lvl>
    <w:lvl w:ilvl="8" w:tplc="031A7D6A">
      <w:start w:val="1"/>
      <w:numFmt w:val="bullet"/>
      <w:lvlText w:val=""/>
      <w:lvlJc w:val="left"/>
      <w:pPr>
        <w:tabs>
          <w:tab w:val="num" w:pos="6480"/>
        </w:tabs>
        <w:ind w:left="6480" w:hanging="360"/>
      </w:pPr>
      <w:rPr>
        <w:rFonts w:ascii="Wingdings 3" w:hAnsi="Wingdings 3" w:hint="default"/>
      </w:rPr>
    </w:lvl>
  </w:abstractNum>
  <w:abstractNum w:abstractNumId="42">
    <w:nsid w:val="739438E2"/>
    <w:multiLevelType w:val="multilevel"/>
    <w:tmpl w:val="D7CA1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5117F"/>
    <w:multiLevelType w:val="hybridMultilevel"/>
    <w:tmpl w:val="91E443DA"/>
    <w:lvl w:ilvl="0" w:tplc="ABFC7168">
      <w:start w:val="1"/>
      <w:numFmt w:val="bullet"/>
      <w:lvlText w:val="-"/>
      <w:lvlJc w:val="left"/>
      <w:pPr>
        <w:ind w:left="360" w:hanging="360"/>
      </w:pPr>
      <w:rPr>
        <w:rFonts w:ascii="Arial" w:hAnsi="Aria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4">
    <w:nsid w:val="7A6136E3"/>
    <w:multiLevelType w:val="hybridMultilevel"/>
    <w:tmpl w:val="BE9883C2"/>
    <w:lvl w:ilvl="0" w:tplc="ABFC7168">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E460D16"/>
    <w:multiLevelType w:val="hybridMultilevel"/>
    <w:tmpl w:val="3D5E9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3"/>
  </w:num>
  <w:num w:numId="5">
    <w:abstractNumId w:val="28"/>
  </w:num>
  <w:num w:numId="6">
    <w:abstractNumId w:val="33"/>
  </w:num>
  <w:num w:numId="7">
    <w:abstractNumId w:val="8"/>
  </w:num>
  <w:num w:numId="8">
    <w:abstractNumId w:val="3"/>
  </w:num>
  <w:num w:numId="9">
    <w:abstractNumId w:val="21"/>
  </w:num>
  <w:num w:numId="10">
    <w:abstractNumId w:val="35"/>
  </w:num>
  <w:num w:numId="11">
    <w:abstractNumId w:val="34"/>
  </w:num>
  <w:num w:numId="12">
    <w:abstractNumId w:val="9"/>
  </w:num>
  <w:num w:numId="13">
    <w:abstractNumId w:val="1"/>
  </w:num>
  <w:num w:numId="14">
    <w:abstractNumId w:val="12"/>
  </w:num>
  <w:num w:numId="15">
    <w:abstractNumId w:val="25"/>
  </w:num>
  <w:num w:numId="16">
    <w:abstractNumId w:val="39"/>
  </w:num>
  <w:num w:numId="17">
    <w:abstractNumId w:val="31"/>
  </w:num>
  <w:num w:numId="18">
    <w:abstractNumId w:val="22"/>
  </w:num>
  <w:num w:numId="19">
    <w:abstractNumId w:val="26"/>
  </w:num>
  <w:num w:numId="20">
    <w:abstractNumId w:val="4"/>
  </w:num>
  <w:num w:numId="21">
    <w:abstractNumId w:val="17"/>
  </w:num>
  <w:num w:numId="22">
    <w:abstractNumId w:val="32"/>
  </w:num>
  <w:num w:numId="23">
    <w:abstractNumId w:val="6"/>
  </w:num>
  <w:num w:numId="24">
    <w:abstractNumId w:val="27"/>
  </w:num>
  <w:num w:numId="25">
    <w:abstractNumId w:val="45"/>
  </w:num>
  <w:num w:numId="26">
    <w:abstractNumId w:val="40"/>
  </w:num>
  <w:num w:numId="27">
    <w:abstractNumId w:val="2"/>
  </w:num>
  <w:num w:numId="28">
    <w:abstractNumId w:val="38"/>
  </w:num>
  <w:num w:numId="29">
    <w:abstractNumId w:val="37"/>
  </w:num>
  <w:num w:numId="30">
    <w:abstractNumId w:val="43"/>
  </w:num>
  <w:num w:numId="31">
    <w:abstractNumId w:val="16"/>
  </w:num>
  <w:num w:numId="32">
    <w:abstractNumId w:val="0"/>
  </w:num>
  <w:num w:numId="33">
    <w:abstractNumId w:val="44"/>
  </w:num>
  <w:num w:numId="34">
    <w:abstractNumId w:val="36"/>
  </w:num>
  <w:num w:numId="35">
    <w:abstractNumId w:val="41"/>
  </w:num>
  <w:num w:numId="36">
    <w:abstractNumId w:val="13"/>
  </w:num>
  <w:num w:numId="37">
    <w:abstractNumId w:val="10"/>
  </w:num>
  <w:num w:numId="38">
    <w:abstractNumId w:val="18"/>
  </w:num>
  <w:num w:numId="39">
    <w:abstractNumId w:val="14"/>
  </w:num>
  <w:num w:numId="40">
    <w:abstractNumId w:val="5"/>
  </w:num>
  <w:num w:numId="41">
    <w:abstractNumId w:val="15"/>
  </w:num>
  <w:num w:numId="42">
    <w:abstractNumId w:val="11"/>
  </w:num>
  <w:num w:numId="43">
    <w:abstractNumId w:val="30"/>
  </w:num>
  <w:num w:numId="44">
    <w:abstractNumId w:val="20"/>
  </w:num>
  <w:num w:numId="45">
    <w:abstractNumId w:val="19"/>
  </w:num>
  <w:num w:numId="46">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 ridwan">
    <w15:presenceInfo w15:providerId="Windows Live" w15:userId="cb5344d0e86977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OxNDIxtjA2NzQzMzRX0lEKTi0uzszPAykwqgUANXQiZSwAAAA="/>
  </w:docVars>
  <w:rsids>
    <w:rsidRoot w:val="00541EF5"/>
    <w:rsid w:val="000001A8"/>
    <w:rsid w:val="000068F7"/>
    <w:rsid w:val="00011656"/>
    <w:rsid w:val="00015C1D"/>
    <w:rsid w:val="000205DD"/>
    <w:rsid w:val="00022A16"/>
    <w:rsid w:val="00027288"/>
    <w:rsid w:val="00033AB9"/>
    <w:rsid w:val="00037C7D"/>
    <w:rsid w:val="000413BC"/>
    <w:rsid w:val="00041AF6"/>
    <w:rsid w:val="00044EF8"/>
    <w:rsid w:val="0005701E"/>
    <w:rsid w:val="00060C3F"/>
    <w:rsid w:val="00061D08"/>
    <w:rsid w:val="0006295B"/>
    <w:rsid w:val="000630B1"/>
    <w:rsid w:val="0006485B"/>
    <w:rsid w:val="00067EAA"/>
    <w:rsid w:val="00070F41"/>
    <w:rsid w:val="00075257"/>
    <w:rsid w:val="00081C79"/>
    <w:rsid w:val="00091105"/>
    <w:rsid w:val="000A4571"/>
    <w:rsid w:val="000B5940"/>
    <w:rsid w:val="000C49F5"/>
    <w:rsid w:val="000E0398"/>
    <w:rsid w:val="000E3FA1"/>
    <w:rsid w:val="000E5647"/>
    <w:rsid w:val="00112F66"/>
    <w:rsid w:val="00121C32"/>
    <w:rsid w:val="00122057"/>
    <w:rsid w:val="00122FDD"/>
    <w:rsid w:val="00123F28"/>
    <w:rsid w:val="00124E6C"/>
    <w:rsid w:val="00126FC4"/>
    <w:rsid w:val="00132EFC"/>
    <w:rsid w:val="00134E08"/>
    <w:rsid w:val="00134F12"/>
    <w:rsid w:val="00136F13"/>
    <w:rsid w:val="00141186"/>
    <w:rsid w:val="001500E2"/>
    <w:rsid w:val="00154B12"/>
    <w:rsid w:val="00154D67"/>
    <w:rsid w:val="0015608A"/>
    <w:rsid w:val="0015752A"/>
    <w:rsid w:val="00161F9F"/>
    <w:rsid w:val="001633C8"/>
    <w:rsid w:val="001653BF"/>
    <w:rsid w:val="0017094E"/>
    <w:rsid w:val="00183595"/>
    <w:rsid w:val="00196A28"/>
    <w:rsid w:val="001A45D7"/>
    <w:rsid w:val="001A6A3C"/>
    <w:rsid w:val="001B2B93"/>
    <w:rsid w:val="001C14F2"/>
    <w:rsid w:val="001C18AE"/>
    <w:rsid w:val="001D2814"/>
    <w:rsid w:val="001E304C"/>
    <w:rsid w:val="001E351A"/>
    <w:rsid w:val="001E3647"/>
    <w:rsid w:val="001E4B81"/>
    <w:rsid w:val="001E52B1"/>
    <w:rsid w:val="001F2AB2"/>
    <w:rsid w:val="001F7C4A"/>
    <w:rsid w:val="00206488"/>
    <w:rsid w:val="00207400"/>
    <w:rsid w:val="00212A68"/>
    <w:rsid w:val="00214A16"/>
    <w:rsid w:val="00215EA4"/>
    <w:rsid w:val="0021624D"/>
    <w:rsid w:val="00217554"/>
    <w:rsid w:val="00225782"/>
    <w:rsid w:val="00227D56"/>
    <w:rsid w:val="00231A55"/>
    <w:rsid w:val="002577ED"/>
    <w:rsid w:val="00260B42"/>
    <w:rsid w:val="00266469"/>
    <w:rsid w:val="00270A58"/>
    <w:rsid w:val="00270A99"/>
    <w:rsid w:val="00275A90"/>
    <w:rsid w:val="00275BF2"/>
    <w:rsid w:val="00280824"/>
    <w:rsid w:val="00297983"/>
    <w:rsid w:val="002A3BCE"/>
    <w:rsid w:val="002C3E9C"/>
    <w:rsid w:val="002C683C"/>
    <w:rsid w:val="002C7420"/>
    <w:rsid w:val="002C7E32"/>
    <w:rsid w:val="002E34DF"/>
    <w:rsid w:val="002F0C7C"/>
    <w:rsid w:val="002F37E4"/>
    <w:rsid w:val="002F4255"/>
    <w:rsid w:val="003028DB"/>
    <w:rsid w:val="003050DF"/>
    <w:rsid w:val="00305BBA"/>
    <w:rsid w:val="00312543"/>
    <w:rsid w:val="00312715"/>
    <w:rsid w:val="00323BED"/>
    <w:rsid w:val="0032596E"/>
    <w:rsid w:val="003305BB"/>
    <w:rsid w:val="00330F31"/>
    <w:rsid w:val="00332021"/>
    <w:rsid w:val="00332296"/>
    <w:rsid w:val="003331EC"/>
    <w:rsid w:val="00345D67"/>
    <w:rsid w:val="003539DF"/>
    <w:rsid w:val="00356215"/>
    <w:rsid w:val="00360E44"/>
    <w:rsid w:val="00377BCC"/>
    <w:rsid w:val="00382ECC"/>
    <w:rsid w:val="003A3729"/>
    <w:rsid w:val="003A4C63"/>
    <w:rsid w:val="003B0B18"/>
    <w:rsid w:val="003B153D"/>
    <w:rsid w:val="003B220A"/>
    <w:rsid w:val="003B40C7"/>
    <w:rsid w:val="003B51C8"/>
    <w:rsid w:val="003B597C"/>
    <w:rsid w:val="003B775A"/>
    <w:rsid w:val="003B7911"/>
    <w:rsid w:val="003C2B51"/>
    <w:rsid w:val="003C3504"/>
    <w:rsid w:val="003C3592"/>
    <w:rsid w:val="003D1E85"/>
    <w:rsid w:val="003D376A"/>
    <w:rsid w:val="003D3D00"/>
    <w:rsid w:val="003D56C0"/>
    <w:rsid w:val="003E1FFB"/>
    <w:rsid w:val="003E279A"/>
    <w:rsid w:val="00403EC7"/>
    <w:rsid w:val="00410DBB"/>
    <w:rsid w:val="00426EDD"/>
    <w:rsid w:val="004338A4"/>
    <w:rsid w:val="00451F90"/>
    <w:rsid w:val="0045272C"/>
    <w:rsid w:val="00457850"/>
    <w:rsid w:val="00467331"/>
    <w:rsid w:val="004706C1"/>
    <w:rsid w:val="00475CEA"/>
    <w:rsid w:val="00481A9E"/>
    <w:rsid w:val="00490E8C"/>
    <w:rsid w:val="0049524E"/>
    <w:rsid w:val="004A675A"/>
    <w:rsid w:val="004B4842"/>
    <w:rsid w:val="004B78DD"/>
    <w:rsid w:val="004C010C"/>
    <w:rsid w:val="004C1144"/>
    <w:rsid w:val="004E1FB0"/>
    <w:rsid w:val="004F04C5"/>
    <w:rsid w:val="004F67B9"/>
    <w:rsid w:val="00500CC3"/>
    <w:rsid w:val="00501261"/>
    <w:rsid w:val="005044C8"/>
    <w:rsid w:val="00505050"/>
    <w:rsid w:val="00507CD5"/>
    <w:rsid w:val="00507F60"/>
    <w:rsid w:val="00510F4D"/>
    <w:rsid w:val="00511AB2"/>
    <w:rsid w:val="005164BF"/>
    <w:rsid w:val="005201EA"/>
    <w:rsid w:val="005319FB"/>
    <w:rsid w:val="00532D0B"/>
    <w:rsid w:val="00534BE1"/>
    <w:rsid w:val="00534F42"/>
    <w:rsid w:val="00541EF5"/>
    <w:rsid w:val="00543E76"/>
    <w:rsid w:val="0054762F"/>
    <w:rsid w:val="00572BE0"/>
    <w:rsid w:val="00574F91"/>
    <w:rsid w:val="00576BCC"/>
    <w:rsid w:val="00580312"/>
    <w:rsid w:val="005841D0"/>
    <w:rsid w:val="005843F6"/>
    <w:rsid w:val="00587D1C"/>
    <w:rsid w:val="00591195"/>
    <w:rsid w:val="00594118"/>
    <w:rsid w:val="00596D65"/>
    <w:rsid w:val="005A0387"/>
    <w:rsid w:val="005A2304"/>
    <w:rsid w:val="005A6FE3"/>
    <w:rsid w:val="005B184D"/>
    <w:rsid w:val="005B48A1"/>
    <w:rsid w:val="005B6827"/>
    <w:rsid w:val="005D3FCA"/>
    <w:rsid w:val="005D51BD"/>
    <w:rsid w:val="005E1C77"/>
    <w:rsid w:val="005E299C"/>
    <w:rsid w:val="005E52BA"/>
    <w:rsid w:val="005E5C5B"/>
    <w:rsid w:val="005F147E"/>
    <w:rsid w:val="005F4480"/>
    <w:rsid w:val="005F5ADF"/>
    <w:rsid w:val="005F6AE5"/>
    <w:rsid w:val="005F70B6"/>
    <w:rsid w:val="0060131E"/>
    <w:rsid w:val="00606ADF"/>
    <w:rsid w:val="006112F7"/>
    <w:rsid w:val="00611A86"/>
    <w:rsid w:val="00613426"/>
    <w:rsid w:val="00620AB9"/>
    <w:rsid w:val="006252D9"/>
    <w:rsid w:val="0063159C"/>
    <w:rsid w:val="006316B8"/>
    <w:rsid w:val="006320C4"/>
    <w:rsid w:val="00647B9F"/>
    <w:rsid w:val="0065061C"/>
    <w:rsid w:val="00654502"/>
    <w:rsid w:val="00654C6E"/>
    <w:rsid w:val="00657742"/>
    <w:rsid w:val="00663980"/>
    <w:rsid w:val="00663EF3"/>
    <w:rsid w:val="00665287"/>
    <w:rsid w:val="00665DA8"/>
    <w:rsid w:val="00670527"/>
    <w:rsid w:val="00671339"/>
    <w:rsid w:val="00671C2F"/>
    <w:rsid w:val="006746DD"/>
    <w:rsid w:val="00674DA6"/>
    <w:rsid w:val="006832FA"/>
    <w:rsid w:val="006911BE"/>
    <w:rsid w:val="006924DD"/>
    <w:rsid w:val="00694246"/>
    <w:rsid w:val="0069733F"/>
    <w:rsid w:val="006A2CCC"/>
    <w:rsid w:val="006B21F9"/>
    <w:rsid w:val="006B4C6C"/>
    <w:rsid w:val="006C0E87"/>
    <w:rsid w:val="006C1F7F"/>
    <w:rsid w:val="006C60BF"/>
    <w:rsid w:val="006C6526"/>
    <w:rsid w:val="006D0C7E"/>
    <w:rsid w:val="006D456A"/>
    <w:rsid w:val="006D5EFE"/>
    <w:rsid w:val="006D7D4F"/>
    <w:rsid w:val="006E31C9"/>
    <w:rsid w:val="006E4FAE"/>
    <w:rsid w:val="006F3061"/>
    <w:rsid w:val="00704AAE"/>
    <w:rsid w:val="007057BC"/>
    <w:rsid w:val="00706DE7"/>
    <w:rsid w:val="00715C51"/>
    <w:rsid w:val="007168D1"/>
    <w:rsid w:val="007232AC"/>
    <w:rsid w:val="00726E94"/>
    <w:rsid w:val="0072750F"/>
    <w:rsid w:val="00733AEE"/>
    <w:rsid w:val="007362A8"/>
    <w:rsid w:val="00744973"/>
    <w:rsid w:val="007458C5"/>
    <w:rsid w:val="00754B18"/>
    <w:rsid w:val="00755405"/>
    <w:rsid w:val="00761ED7"/>
    <w:rsid w:val="00764ED4"/>
    <w:rsid w:val="00765CD1"/>
    <w:rsid w:val="00770231"/>
    <w:rsid w:val="007721ED"/>
    <w:rsid w:val="00773D4B"/>
    <w:rsid w:val="00775B23"/>
    <w:rsid w:val="007824D9"/>
    <w:rsid w:val="007873A7"/>
    <w:rsid w:val="00797872"/>
    <w:rsid w:val="007A221D"/>
    <w:rsid w:val="007B09D7"/>
    <w:rsid w:val="007B3E16"/>
    <w:rsid w:val="007B56CE"/>
    <w:rsid w:val="007B75AF"/>
    <w:rsid w:val="007C6E73"/>
    <w:rsid w:val="007D1859"/>
    <w:rsid w:val="007D207A"/>
    <w:rsid w:val="007D687F"/>
    <w:rsid w:val="007D6E11"/>
    <w:rsid w:val="007E0ED2"/>
    <w:rsid w:val="007E19BF"/>
    <w:rsid w:val="007E74CC"/>
    <w:rsid w:val="007E7CCE"/>
    <w:rsid w:val="007F3FE2"/>
    <w:rsid w:val="007F5BAE"/>
    <w:rsid w:val="00802317"/>
    <w:rsid w:val="00813914"/>
    <w:rsid w:val="00813A4F"/>
    <w:rsid w:val="00814FEF"/>
    <w:rsid w:val="00827347"/>
    <w:rsid w:val="00835896"/>
    <w:rsid w:val="008423EC"/>
    <w:rsid w:val="00842674"/>
    <w:rsid w:val="008459D7"/>
    <w:rsid w:val="00846685"/>
    <w:rsid w:val="00852074"/>
    <w:rsid w:val="008524FB"/>
    <w:rsid w:val="00857A98"/>
    <w:rsid w:val="00862ADC"/>
    <w:rsid w:val="008723F3"/>
    <w:rsid w:val="00874CDD"/>
    <w:rsid w:val="00875CE7"/>
    <w:rsid w:val="00876F63"/>
    <w:rsid w:val="0088337F"/>
    <w:rsid w:val="0088602B"/>
    <w:rsid w:val="00892FBF"/>
    <w:rsid w:val="00894B5E"/>
    <w:rsid w:val="00897176"/>
    <w:rsid w:val="008A0A33"/>
    <w:rsid w:val="008A29C0"/>
    <w:rsid w:val="008A48D4"/>
    <w:rsid w:val="008A6642"/>
    <w:rsid w:val="008B0B01"/>
    <w:rsid w:val="008C4CA3"/>
    <w:rsid w:val="008D3950"/>
    <w:rsid w:val="008D5649"/>
    <w:rsid w:val="008E1B4F"/>
    <w:rsid w:val="008E3039"/>
    <w:rsid w:val="008E383D"/>
    <w:rsid w:val="008F2D50"/>
    <w:rsid w:val="0090512F"/>
    <w:rsid w:val="009056DB"/>
    <w:rsid w:val="00915524"/>
    <w:rsid w:val="009207D6"/>
    <w:rsid w:val="00931117"/>
    <w:rsid w:val="00931ECB"/>
    <w:rsid w:val="009329D8"/>
    <w:rsid w:val="009523C6"/>
    <w:rsid w:val="00952A26"/>
    <w:rsid w:val="0095320F"/>
    <w:rsid w:val="00954BFE"/>
    <w:rsid w:val="009550E3"/>
    <w:rsid w:val="0095776A"/>
    <w:rsid w:val="009618B0"/>
    <w:rsid w:val="00962921"/>
    <w:rsid w:val="00962B8C"/>
    <w:rsid w:val="009644B9"/>
    <w:rsid w:val="00964F2C"/>
    <w:rsid w:val="0096569E"/>
    <w:rsid w:val="00971440"/>
    <w:rsid w:val="00977A4F"/>
    <w:rsid w:val="009808C4"/>
    <w:rsid w:val="00984513"/>
    <w:rsid w:val="00990A4B"/>
    <w:rsid w:val="00991C73"/>
    <w:rsid w:val="009934AA"/>
    <w:rsid w:val="00994877"/>
    <w:rsid w:val="00997F58"/>
    <w:rsid w:val="009A3F37"/>
    <w:rsid w:val="009A5926"/>
    <w:rsid w:val="009A67F1"/>
    <w:rsid w:val="009A7EA5"/>
    <w:rsid w:val="009C2130"/>
    <w:rsid w:val="009C3CBA"/>
    <w:rsid w:val="009C4102"/>
    <w:rsid w:val="009D0D1D"/>
    <w:rsid w:val="009D35E9"/>
    <w:rsid w:val="009D741B"/>
    <w:rsid w:val="009E144D"/>
    <w:rsid w:val="009E34F8"/>
    <w:rsid w:val="009E63A5"/>
    <w:rsid w:val="009F28C2"/>
    <w:rsid w:val="009F2E74"/>
    <w:rsid w:val="009F453B"/>
    <w:rsid w:val="009F521B"/>
    <w:rsid w:val="009F677B"/>
    <w:rsid w:val="009F6AF0"/>
    <w:rsid w:val="009F76FA"/>
    <w:rsid w:val="00A02807"/>
    <w:rsid w:val="00A05143"/>
    <w:rsid w:val="00A074A2"/>
    <w:rsid w:val="00A12989"/>
    <w:rsid w:val="00A14AB8"/>
    <w:rsid w:val="00A1650D"/>
    <w:rsid w:val="00A23F31"/>
    <w:rsid w:val="00A255B8"/>
    <w:rsid w:val="00A31B4D"/>
    <w:rsid w:val="00A37F5C"/>
    <w:rsid w:val="00A500D7"/>
    <w:rsid w:val="00A57BFB"/>
    <w:rsid w:val="00A71C74"/>
    <w:rsid w:val="00A74754"/>
    <w:rsid w:val="00A774E1"/>
    <w:rsid w:val="00A85252"/>
    <w:rsid w:val="00A8772A"/>
    <w:rsid w:val="00A87F04"/>
    <w:rsid w:val="00A90311"/>
    <w:rsid w:val="00A92121"/>
    <w:rsid w:val="00A96A09"/>
    <w:rsid w:val="00AA16F1"/>
    <w:rsid w:val="00AB15A5"/>
    <w:rsid w:val="00AB26DC"/>
    <w:rsid w:val="00AB37F8"/>
    <w:rsid w:val="00AB74F2"/>
    <w:rsid w:val="00AC449B"/>
    <w:rsid w:val="00AC5FC8"/>
    <w:rsid w:val="00AD3120"/>
    <w:rsid w:val="00AD433C"/>
    <w:rsid w:val="00AD6D60"/>
    <w:rsid w:val="00AD7757"/>
    <w:rsid w:val="00AE392B"/>
    <w:rsid w:val="00AE6201"/>
    <w:rsid w:val="00B00617"/>
    <w:rsid w:val="00B04802"/>
    <w:rsid w:val="00B04890"/>
    <w:rsid w:val="00B049C0"/>
    <w:rsid w:val="00B05547"/>
    <w:rsid w:val="00B20B50"/>
    <w:rsid w:val="00B25B81"/>
    <w:rsid w:val="00B264AE"/>
    <w:rsid w:val="00B26C84"/>
    <w:rsid w:val="00B31450"/>
    <w:rsid w:val="00B33393"/>
    <w:rsid w:val="00B36E37"/>
    <w:rsid w:val="00B41192"/>
    <w:rsid w:val="00B41499"/>
    <w:rsid w:val="00B41C36"/>
    <w:rsid w:val="00B453D0"/>
    <w:rsid w:val="00B51061"/>
    <w:rsid w:val="00B53058"/>
    <w:rsid w:val="00B539AF"/>
    <w:rsid w:val="00B566E2"/>
    <w:rsid w:val="00B56827"/>
    <w:rsid w:val="00B57F0A"/>
    <w:rsid w:val="00B62831"/>
    <w:rsid w:val="00B8755B"/>
    <w:rsid w:val="00B911D7"/>
    <w:rsid w:val="00B92D28"/>
    <w:rsid w:val="00B97359"/>
    <w:rsid w:val="00B97C1E"/>
    <w:rsid w:val="00BA20F9"/>
    <w:rsid w:val="00BA3B33"/>
    <w:rsid w:val="00BA5068"/>
    <w:rsid w:val="00BB4B79"/>
    <w:rsid w:val="00BC1404"/>
    <w:rsid w:val="00BC2CC1"/>
    <w:rsid w:val="00BC586D"/>
    <w:rsid w:val="00BD088D"/>
    <w:rsid w:val="00BD2377"/>
    <w:rsid w:val="00BE449C"/>
    <w:rsid w:val="00BE699A"/>
    <w:rsid w:val="00BE6C15"/>
    <w:rsid w:val="00BE736C"/>
    <w:rsid w:val="00BF0CBB"/>
    <w:rsid w:val="00BF40CF"/>
    <w:rsid w:val="00C041A3"/>
    <w:rsid w:val="00C04C25"/>
    <w:rsid w:val="00C10CF4"/>
    <w:rsid w:val="00C133C4"/>
    <w:rsid w:val="00C16414"/>
    <w:rsid w:val="00C202DC"/>
    <w:rsid w:val="00C213FC"/>
    <w:rsid w:val="00C26EF1"/>
    <w:rsid w:val="00C270F2"/>
    <w:rsid w:val="00C44106"/>
    <w:rsid w:val="00C46846"/>
    <w:rsid w:val="00C54F35"/>
    <w:rsid w:val="00C57F54"/>
    <w:rsid w:val="00C60F9B"/>
    <w:rsid w:val="00C61C52"/>
    <w:rsid w:val="00C63496"/>
    <w:rsid w:val="00C64905"/>
    <w:rsid w:val="00C671CE"/>
    <w:rsid w:val="00C72EB3"/>
    <w:rsid w:val="00C75220"/>
    <w:rsid w:val="00C75CC2"/>
    <w:rsid w:val="00C85E9C"/>
    <w:rsid w:val="00C92316"/>
    <w:rsid w:val="00C92C90"/>
    <w:rsid w:val="00C92E3F"/>
    <w:rsid w:val="00C932F9"/>
    <w:rsid w:val="00C94B0D"/>
    <w:rsid w:val="00CB106B"/>
    <w:rsid w:val="00CC33D4"/>
    <w:rsid w:val="00CD0D79"/>
    <w:rsid w:val="00CD2CDC"/>
    <w:rsid w:val="00CE1306"/>
    <w:rsid w:val="00CF01CD"/>
    <w:rsid w:val="00CF4586"/>
    <w:rsid w:val="00CF735E"/>
    <w:rsid w:val="00D06439"/>
    <w:rsid w:val="00D1131D"/>
    <w:rsid w:val="00D145FC"/>
    <w:rsid w:val="00D149DD"/>
    <w:rsid w:val="00D20B55"/>
    <w:rsid w:val="00D2182E"/>
    <w:rsid w:val="00D23356"/>
    <w:rsid w:val="00D246C6"/>
    <w:rsid w:val="00D263AE"/>
    <w:rsid w:val="00D26FA7"/>
    <w:rsid w:val="00D33197"/>
    <w:rsid w:val="00D34434"/>
    <w:rsid w:val="00D37C9D"/>
    <w:rsid w:val="00D45A00"/>
    <w:rsid w:val="00D46181"/>
    <w:rsid w:val="00D65615"/>
    <w:rsid w:val="00D724F0"/>
    <w:rsid w:val="00D727AA"/>
    <w:rsid w:val="00D757DD"/>
    <w:rsid w:val="00D76491"/>
    <w:rsid w:val="00D76566"/>
    <w:rsid w:val="00D82B90"/>
    <w:rsid w:val="00D847C4"/>
    <w:rsid w:val="00D86EB5"/>
    <w:rsid w:val="00D87196"/>
    <w:rsid w:val="00D91489"/>
    <w:rsid w:val="00D94B13"/>
    <w:rsid w:val="00DA5E85"/>
    <w:rsid w:val="00DA759D"/>
    <w:rsid w:val="00DB34E6"/>
    <w:rsid w:val="00DB7CFF"/>
    <w:rsid w:val="00DC016B"/>
    <w:rsid w:val="00DC07E0"/>
    <w:rsid w:val="00DC10ED"/>
    <w:rsid w:val="00DC66DD"/>
    <w:rsid w:val="00DC6F8D"/>
    <w:rsid w:val="00DD19AC"/>
    <w:rsid w:val="00DD4AFD"/>
    <w:rsid w:val="00DE0446"/>
    <w:rsid w:val="00DE40A0"/>
    <w:rsid w:val="00DE7B6F"/>
    <w:rsid w:val="00DF42A1"/>
    <w:rsid w:val="00DF7D55"/>
    <w:rsid w:val="00E0372E"/>
    <w:rsid w:val="00E11877"/>
    <w:rsid w:val="00E1564E"/>
    <w:rsid w:val="00E2329C"/>
    <w:rsid w:val="00E27CE4"/>
    <w:rsid w:val="00E30549"/>
    <w:rsid w:val="00E31FBF"/>
    <w:rsid w:val="00E32C24"/>
    <w:rsid w:val="00E35227"/>
    <w:rsid w:val="00E41358"/>
    <w:rsid w:val="00E41A47"/>
    <w:rsid w:val="00E426BA"/>
    <w:rsid w:val="00E43253"/>
    <w:rsid w:val="00E44D4B"/>
    <w:rsid w:val="00E479A9"/>
    <w:rsid w:val="00E50F69"/>
    <w:rsid w:val="00E576CC"/>
    <w:rsid w:val="00E57AA9"/>
    <w:rsid w:val="00E63013"/>
    <w:rsid w:val="00E65A50"/>
    <w:rsid w:val="00E7294D"/>
    <w:rsid w:val="00E729C8"/>
    <w:rsid w:val="00E828CC"/>
    <w:rsid w:val="00E83835"/>
    <w:rsid w:val="00E90767"/>
    <w:rsid w:val="00E9098F"/>
    <w:rsid w:val="00E91C25"/>
    <w:rsid w:val="00E93F04"/>
    <w:rsid w:val="00EA2FA0"/>
    <w:rsid w:val="00EA6B75"/>
    <w:rsid w:val="00EB1408"/>
    <w:rsid w:val="00EB41AF"/>
    <w:rsid w:val="00EB69CA"/>
    <w:rsid w:val="00EB7B50"/>
    <w:rsid w:val="00EC7865"/>
    <w:rsid w:val="00EE34B0"/>
    <w:rsid w:val="00EE6A36"/>
    <w:rsid w:val="00EE6C5F"/>
    <w:rsid w:val="00EE758C"/>
    <w:rsid w:val="00EF4C15"/>
    <w:rsid w:val="00EF667B"/>
    <w:rsid w:val="00F036B6"/>
    <w:rsid w:val="00F05B7F"/>
    <w:rsid w:val="00F07AFE"/>
    <w:rsid w:val="00F10677"/>
    <w:rsid w:val="00F12721"/>
    <w:rsid w:val="00F14363"/>
    <w:rsid w:val="00F15BFE"/>
    <w:rsid w:val="00F16469"/>
    <w:rsid w:val="00F1736B"/>
    <w:rsid w:val="00F21BAE"/>
    <w:rsid w:val="00F3225F"/>
    <w:rsid w:val="00F352A1"/>
    <w:rsid w:val="00F36274"/>
    <w:rsid w:val="00F43044"/>
    <w:rsid w:val="00F46AD2"/>
    <w:rsid w:val="00F478F3"/>
    <w:rsid w:val="00F56A54"/>
    <w:rsid w:val="00F6554C"/>
    <w:rsid w:val="00F73EF2"/>
    <w:rsid w:val="00F75366"/>
    <w:rsid w:val="00F76515"/>
    <w:rsid w:val="00F778E8"/>
    <w:rsid w:val="00F804E7"/>
    <w:rsid w:val="00F87CDA"/>
    <w:rsid w:val="00F91953"/>
    <w:rsid w:val="00F921C1"/>
    <w:rsid w:val="00F9459B"/>
    <w:rsid w:val="00F96B74"/>
    <w:rsid w:val="00FA42DE"/>
    <w:rsid w:val="00FA7615"/>
    <w:rsid w:val="00FA787A"/>
    <w:rsid w:val="00FB3DD0"/>
    <w:rsid w:val="00FB7F1A"/>
    <w:rsid w:val="00FC2155"/>
    <w:rsid w:val="00FC5321"/>
    <w:rsid w:val="00FC5CEB"/>
    <w:rsid w:val="00FC7865"/>
    <w:rsid w:val="00FD223C"/>
    <w:rsid w:val="00FD42A7"/>
    <w:rsid w:val="00FE2D51"/>
    <w:rsid w:val="00FE48F5"/>
    <w:rsid w:val="02977E9F"/>
    <w:rsid w:val="087524B7"/>
    <w:rsid w:val="08EA63DA"/>
    <w:rsid w:val="09FA4461"/>
    <w:rsid w:val="0BFF25D0"/>
    <w:rsid w:val="120E57F3"/>
    <w:rsid w:val="1D12715E"/>
    <w:rsid w:val="221B7607"/>
    <w:rsid w:val="2F3B3B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EF4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lsdException w:name="header" w:semiHidden="0"/>
    <w:lsdException w:name="footer" w:semiHidden="0"/>
    <w:lsdException w:name="caption" w:semiHidden="0" w:uiPriority="35" w:unhideWhenUsed="0" w:qFormat="1"/>
    <w:lsdException w:name="footnote reference" w:semiHidden="0"/>
    <w:lsdException w:name="annotation reference" w:semiHidden="0"/>
    <w:lsdException w:name="List" w:semiHidden="0"/>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HTML Preformatted" w:semiHidden="0"/>
    <w:lsdException w:name="Normal Table" w:qFormat="1"/>
    <w:lsdException w:name="annotation subject" w:semiHidden="0"/>
    <w:lsdException w:name="Balloon Text"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AA"/>
    <w:pPr>
      <w:spacing w:after="160" w:line="259" w:lineRule="auto"/>
    </w:pPr>
    <w:rPr>
      <w:sz w:val="22"/>
      <w:szCs w:val="22"/>
    </w:rPr>
  </w:style>
  <w:style w:type="paragraph" w:styleId="Heading1">
    <w:name w:val="heading 1"/>
    <w:basedOn w:val="Normal"/>
    <w:next w:val="Normal"/>
    <w:link w:val="Heading1Char"/>
    <w:uiPriority w:val="9"/>
    <w:qFormat/>
    <w:rsid w:val="007721ED"/>
    <w:pPr>
      <w:keepNext/>
      <w:keepLines/>
      <w:spacing w:before="480" w:after="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qFormat/>
    <w:rsid w:val="007721ED"/>
    <w:pPr>
      <w:keepNext/>
      <w:keepLines/>
      <w:spacing w:before="200" w:after="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qFormat/>
    <w:rsid w:val="007721ED"/>
    <w:pPr>
      <w:keepNext/>
      <w:keepLines/>
      <w:spacing w:before="200" w:after="0"/>
      <w:outlineLvl w:val="2"/>
    </w:pPr>
    <w:rPr>
      <w:rFonts w:ascii="Calibri Light" w:eastAsia="Times New Roman" w:hAnsi="Calibri Light"/>
      <w:b/>
      <w:bCs/>
      <w:color w:val="5B9BD5"/>
      <w:sz w:val="20"/>
      <w:szCs w:val="20"/>
    </w:rPr>
  </w:style>
  <w:style w:type="paragraph" w:styleId="Heading4">
    <w:name w:val="heading 4"/>
    <w:basedOn w:val="Normal"/>
    <w:next w:val="Normal"/>
    <w:link w:val="Heading4Char"/>
    <w:uiPriority w:val="9"/>
    <w:semiHidden/>
    <w:unhideWhenUsed/>
    <w:qFormat/>
    <w:rsid w:val="00345D67"/>
    <w:pPr>
      <w:keepNext/>
      <w:keepLines/>
      <w:spacing w:before="40" w:after="0"/>
      <w:outlineLvl w:val="3"/>
    </w:pPr>
    <w:rPr>
      <w:rFonts w:ascii="Cambria" w:eastAsia="Times New Roman" w:hAnsi="Cambria"/>
      <w:i/>
      <w:iCs/>
      <w:color w:val="31849B"/>
      <w:sz w:val="25"/>
      <w:szCs w:val="25"/>
    </w:rPr>
  </w:style>
  <w:style w:type="paragraph" w:styleId="Heading5">
    <w:name w:val="heading 5"/>
    <w:basedOn w:val="Normal"/>
    <w:next w:val="Normal"/>
    <w:link w:val="Heading5Char"/>
    <w:uiPriority w:val="9"/>
    <w:semiHidden/>
    <w:unhideWhenUsed/>
    <w:qFormat/>
    <w:rsid w:val="00345D67"/>
    <w:pPr>
      <w:keepNext/>
      <w:keepLines/>
      <w:spacing w:before="40" w:after="0"/>
      <w:outlineLvl w:val="4"/>
    </w:pPr>
    <w:rPr>
      <w:rFonts w:ascii="Cambria" w:eastAsia="Times New Roman" w:hAnsi="Cambria"/>
      <w:i/>
      <w:iCs/>
      <w:color w:val="632423"/>
      <w:sz w:val="24"/>
      <w:szCs w:val="24"/>
    </w:rPr>
  </w:style>
  <w:style w:type="paragraph" w:styleId="Heading6">
    <w:name w:val="heading 6"/>
    <w:basedOn w:val="Normal"/>
    <w:next w:val="Normal"/>
    <w:link w:val="Heading6Char"/>
    <w:uiPriority w:val="9"/>
    <w:semiHidden/>
    <w:unhideWhenUsed/>
    <w:qFormat/>
    <w:rsid w:val="00345D67"/>
    <w:pPr>
      <w:keepNext/>
      <w:keepLines/>
      <w:spacing w:before="40" w:after="0"/>
      <w:outlineLvl w:val="5"/>
    </w:pPr>
    <w:rPr>
      <w:rFonts w:ascii="Cambria" w:eastAsia="Times New Roman" w:hAnsi="Cambria"/>
      <w:i/>
      <w:iCs/>
      <w:color w:val="984806"/>
      <w:sz w:val="23"/>
      <w:szCs w:val="23"/>
    </w:rPr>
  </w:style>
  <w:style w:type="paragraph" w:styleId="Heading7">
    <w:name w:val="heading 7"/>
    <w:basedOn w:val="Normal"/>
    <w:next w:val="Normal"/>
    <w:link w:val="Heading7Char"/>
    <w:uiPriority w:val="9"/>
    <w:semiHidden/>
    <w:unhideWhenUsed/>
    <w:qFormat/>
    <w:rsid w:val="00345D67"/>
    <w:pPr>
      <w:keepNext/>
      <w:keepLines/>
      <w:spacing w:before="40" w:after="0"/>
      <w:outlineLvl w:val="6"/>
    </w:pPr>
    <w:rPr>
      <w:rFonts w:ascii="Cambria" w:eastAsia="Times New Roman" w:hAnsi="Cambria"/>
      <w:color w:val="244061"/>
    </w:rPr>
  </w:style>
  <w:style w:type="paragraph" w:styleId="Heading8">
    <w:name w:val="heading 8"/>
    <w:basedOn w:val="Normal"/>
    <w:next w:val="Normal"/>
    <w:link w:val="Heading8Char"/>
    <w:uiPriority w:val="9"/>
    <w:semiHidden/>
    <w:unhideWhenUsed/>
    <w:qFormat/>
    <w:rsid w:val="00345D67"/>
    <w:pPr>
      <w:keepNext/>
      <w:keepLines/>
      <w:spacing w:before="40" w:after="0"/>
      <w:outlineLvl w:val="7"/>
    </w:pPr>
    <w:rPr>
      <w:rFonts w:ascii="Cambria" w:eastAsia="Times New Roman" w:hAnsi="Cambria"/>
      <w:color w:val="632423"/>
      <w:sz w:val="21"/>
      <w:szCs w:val="21"/>
    </w:rPr>
  </w:style>
  <w:style w:type="paragraph" w:styleId="Heading9">
    <w:name w:val="heading 9"/>
    <w:basedOn w:val="Normal"/>
    <w:next w:val="Normal"/>
    <w:link w:val="Heading9Char"/>
    <w:uiPriority w:val="9"/>
    <w:semiHidden/>
    <w:unhideWhenUsed/>
    <w:qFormat/>
    <w:rsid w:val="00345D67"/>
    <w:pPr>
      <w:keepNext/>
      <w:keepLines/>
      <w:spacing w:before="40" w:after="0"/>
      <w:outlineLvl w:val="8"/>
    </w:pPr>
    <w:rPr>
      <w:rFonts w:ascii="Cambria" w:eastAsia="Times New Roman" w:hAnsi="Cambria"/>
      <w:color w:val="98480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7721ED"/>
  </w:style>
  <w:style w:type="character" w:customStyle="1" w:styleId="FooterChar">
    <w:name w:val="Footer Char"/>
    <w:basedOn w:val="DefaultParagraphFont"/>
    <w:link w:val="Footer"/>
    <w:uiPriority w:val="99"/>
    <w:rsid w:val="007721ED"/>
  </w:style>
  <w:style w:type="character" w:customStyle="1" w:styleId="FootnoteTextChar">
    <w:name w:val="Footnote Text Char"/>
    <w:link w:val="FootnoteText"/>
    <w:uiPriority w:val="99"/>
    <w:rsid w:val="007721ED"/>
    <w:rPr>
      <w:sz w:val="20"/>
      <w:szCs w:val="20"/>
    </w:rPr>
  </w:style>
  <w:style w:type="character" w:customStyle="1" w:styleId="BalloonTextChar">
    <w:name w:val="Balloon Text Char"/>
    <w:link w:val="BalloonText"/>
    <w:uiPriority w:val="99"/>
    <w:semiHidden/>
    <w:rsid w:val="007721ED"/>
    <w:rPr>
      <w:rFonts w:ascii="Tahoma" w:hAnsi="Tahoma" w:cs="Tahoma"/>
      <w:sz w:val="16"/>
      <w:szCs w:val="16"/>
    </w:rPr>
  </w:style>
  <w:style w:type="character" w:customStyle="1" w:styleId="CommentTextChar">
    <w:name w:val="Comment Text Char"/>
    <w:link w:val="CommentText"/>
    <w:uiPriority w:val="99"/>
    <w:semiHidden/>
    <w:rsid w:val="007721ED"/>
    <w:rPr>
      <w:sz w:val="20"/>
      <w:szCs w:val="20"/>
    </w:rPr>
  </w:style>
  <w:style w:type="character" w:customStyle="1" w:styleId="CommentSubjectChar">
    <w:name w:val="Comment Subject Char"/>
    <w:link w:val="CommentSubject"/>
    <w:uiPriority w:val="99"/>
    <w:semiHidden/>
    <w:rsid w:val="007721ED"/>
    <w:rPr>
      <w:b/>
      <w:bCs/>
      <w:sz w:val="20"/>
      <w:szCs w:val="20"/>
    </w:rPr>
  </w:style>
  <w:style w:type="character" w:customStyle="1" w:styleId="CaptionChar">
    <w:name w:val="Caption Char"/>
    <w:link w:val="Caption"/>
    <w:rsid w:val="007721ED"/>
    <w:rPr>
      <w:rFonts w:ascii="Times New Roman" w:eastAsia="Times New Roman" w:hAnsi="Times New Roman" w:cs="Times New Roman"/>
      <w:bCs/>
      <w:sz w:val="24"/>
      <w:szCs w:val="18"/>
      <w:lang w:eastAsia="ja-JP"/>
    </w:rPr>
  </w:style>
  <w:style w:type="character" w:customStyle="1" w:styleId="Heading1Char">
    <w:name w:val="Heading 1 Char"/>
    <w:link w:val="Heading1"/>
    <w:uiPriority w:val="9"/>
    <w:rsid w:val="007721ED"/>
    <w:rPr>
      <w:rFonts w:ascii="Calibri Light" w:eastAsia="Times New Roman" w:hAnsi="Calibri Light" w:cs="Times New Roman"/>
      <w:b/>
      <w:bCs/>
      <w:color w:val="2E74B5"/>
      <w:sz w:val="28"/>
      <w:szCs w:val="28"/>
    </w:rPr>
  </w:style>
  <w:style w:type="character" w:customStyle="1" w:styleId="alt-edited">
    <w:name w:val="alt-edited"/>
    <w:basedOn w:val="DefaultParagraphFont"/>
    <w:rsid w:val="007721ED"/>
  </w:style>
  <w:style w:type="character" w:customStyle="1" w:styleId="Heading3Char">
    <w:name w:val="Heading 3 Char"/>
    <w:link w:val="Heading3"/>
    <w:uiPriority w:val="9"/>
    <w:rsid w:val="007721ED"/>
    <w:rPr>
      <w:rFonts w:ascii="Calibri Light" w:eastAsia="Times New Roman" w:hAnsi="Calibri Light" w:cs="Times New Roman"/>
      <w:b/>
      <w:bCs/>
      <w:color w:val="5B9BD5"/>
    </w:rPr>
  </w:style>
  <w:style w:type="character" w:customStyle="1" w:styleId="Heading2Char">
    <w:name w:val="Heading 2 Char"/>
    <w:link w:val="Heading2"/>
    <w:uiPriority w:val="9"/>
    <w:rsid w:val="007721ED"/>
    <w:rPr>
      <w:rFonts w:ascii="Calibri Light" w:eastAsia="Times New Roman" w:hAnsi="Calibri Light" w:cs="Times New Roman"/>
      <w:b/>
      <w:bCs/>
      <w:color w:val="5B9BD5"/>
      <w:sz w:val="26"/>
      <w:szCs w:val="26"/>
    </w:rPr>
  </w:style>
  <w:style w:type="character" w:customStyle="1" w:styleId="A1">
    <w:name w:val="A1"/>
    <w:uiPriority w:val="99"/>
    <w:rsid w:val="007721ED"/>
    <w:rPr>
      <w:color w:val="000000"/>
      <w:sz w:val="22"/>
      <w:szCs w:val="22"/>
    </w:rPr>
  </w:style>
  <w:style w:type="character" w:customStyle="1" w:styleId="A0">
    <w:name w:val="A0"/>
    <w:uiPriority w:val="99"/>
    <w:rsid w:val="007721ED"/>
    <w:rPr>
      <w:b/>
      <w:bCs/>
      <w:color w:val="000000"/>
    </w:rPr>
  </w:style>
  <w:style w:type="character" w:customStyle="1" w:styleId="st">
    <w:name w:val="st"/>
    <w:basedOn w:val="DefaultParagraphFont"/>
    <w:rsid w:val="007721ED"/>
  </w:style>
  <w:style w:type="character" w:customStyle="1" w:styleId="HTMLPreformattedChar">
    <w:name w:val="HTML Preformatted Char"/>
    <w:link w:val="HTMLPreformatted"/>
    <w:uiPriority w:val="99"/>
    <w:rsid w:val="007721ED"/>
    <w:rPr>
      <w:rFonts w:ascii="Courier New" w:eastAsia="Times New Roman" w:hAnsi="Courier New" w:cs="Courier New"/>
      <w:sz w:val="20"/>
      <w:szCs w:val="20"/>
    </w:rPr>
  </w:style>
  <w:style w:type="character" w:customStyle="1" w:styleId="HTMLPreformattedChar1">
    <w:name w:val="HTML Preformatted Char1"/>
    <w:uiPriority w:val="99"/>
    <w:semiHidden/>
    <w:rsid w:val="007721ED"/>
    <w:rPr>
      <w:rFonts w:ascii="Consolas" w:hAnsi="Consolas"/>
      <w:sz w:val="20"/>
      <w:szCs w:val="20"/>
    </w:rPr>
  </w:style>
  <w:style w:type="character" w:customStyle="1" w:styleId="i232a7bq1">
    <w:name w:val="i232a7bq1"/>
    <w:basedOn w:val="DefaultParagraphFont"/>
    <w:rsid w:val="007721ED"/>
  </w:style>
  <w:style w:type="character" w:customStyle="1" w:styleId="A2">
    <w:name w:val="A2"/>
    <w:uiPriority w:val="99"/>
    <w:rsid w:val="007721ED"/>
    <w:rPr>
      <w:color w:val="000000"/>
      <w:sz w:val="12"/>
      <w:szCs w:val="12"/>
    </w:rPr>
  </w:style>
  <w:style w:type="character" w:customStyle="1" w:styleId="ListParagraphChar">
    <w:name w:val="List Paragraph Char"/>
    <w:aliases w:val="Heading 41 Char,Heading 411 Char,Heading 42 Char,spasi 2 taiiii Char"/>
    <w:link w:val="ListParagraph"/>
    <w:uiPriority w:val="34"/>
    <w:locked/>
    <w:rsid w:val="007721ED"/>
    <w:rPr>
      <w:sz w:val="22"/>
      <w:szCs w:val="22"/>
      <w:lang w:val="id-ID"/>
    </w:rPr>
  </w:style>
  <w:style w:type="character" w:customStyle="1" w:styleId="apple-style-span">
    <w:name w:val="apple-style-span"/>
    <w:rsid w:val="007721ED"/>
  </w:style>
  <w:style w:type="character" w:customStyle="1" w:styleId="shorttext">
    <w:name w:val="short_text"/>
    <w:rsid w:val="007721ED"/>
  </w:style>
  <w:style w:type="character" w:customStyle="1" w:styleId="tlid-translation">
    <w:name w:val="tlid-translation"/>
    <w:rsid w:val="007721ED"/>
  </w:style>
  <w:style w:type="character" w:customStyle="1" w:styleId="author-name">
    <w:name w:val="author-name"/>
    <w:rsid w:val="007721ED"/>
  </w:style>
  <w:style w:type="character" w:customStyle="1" w:styleId="BodyTextChar">
    <w:name w:val="Body Text Char"/>
    <w:link w:val="BodyText"/>
    <w:uiPriority w:val="1"/>
    <w:rsid w:val="007721ED"/>
    <w:rPr>
      <w:rFonts w:ascii="Times New Roman" w:eastAsia="Times New Roman" w:hAnsi="Times New Roman"/>
      <w:sz w:val="22"/>
      <w:szCs w:val="22"/>
      <w:lang w:bidi="en-US"/>
    </w:rPr>
  </w:style>
  <w:style w:type="character" w:customStyle="1" w:styleId="JudulArtikelChar">
    <w:name w:val="Judul Artikel Char"/>
    <w:link w:val="JudulArtikel"/>
    <w:rsid w:val="007721ED"/>
    <w:rPr>
      <w:rFonts w:ascii="Times New Roman" w:hAnsi="Times New Roman"/>
      <w:b/>
      <w:sz w:val="28"/>
      <w:lang w:val="en-ID" w:eastAsia="en-ID"/>
    </w:rPr>
  </w:style>
  <w:style w:type="character" w:customStyle="1" w:styleId="NamaPenulisChar">
    <w:name w:val="Nama Penulis Char"/>
    <w:link w:val="NamaPenulis"/>
    <w:rsid w:val="007721ED"/>
    <w:rPr>
      <w:rFonts w:ascii="Times New Roman" w:hAnsi="Times New Roman"/>
      <w:b/>
      <w:sz w:val="24"/>
      <w:lang w:val="en-ID" w:eastAsia="en-ID"/>
    </w:rPr>
  </w:style>
  <w:style w:type="character" w:customStyle="1" w:styleId="AbstrakIndonesiaChar">
    <w:name w:val="Abstrak (Indonesia) Char"/>
    <w:link w:val="AbstrakIndonesia"/>
    <w:rsid w:val="007721ED"/>
    <w:rPr>
      <w:rFonts w:ascii="Times New Roman" w:hAnsi="Times New Roman"/>
      <w:lang w:val="id-ID" w:eastAsia="en-ID"/>
    </w:rPr>
  </w:style>
  <w:style w:type="character" w:customStyle="1" w:styleId="KataKunciChar">
    <w:name w:val="Kata Kunci Char"/>
    <w:link w:val="KataKunci"/>
    <w:rsid w:val="007721ED"/>
  </w:style>
  <w:style w:type="character" w:customStyle="1" w:styleId="ParagrafChar">
    <w:name w:val="Paragraf Char"/>
    <w:link w:val="Paragraf"/>
    <w:rsid w:val="007721ED"/>
    <w:rPr>
      <w:rFonts w:ascii="Times New Roman" w:eastAsia="Times New Roman" w:hAnsi="Times New Roman"/>
      <w:b/>
      <w:bCs/>
      <w:color w:val="2E74B5"/>
      <w:sz w:val="24"/>
      <w:szCs w:val="32"/>
      <w:lang w:val="en-ID" w:eastAsia="en-ID"/>
    </w:rPr>
  </w:style>
  <w:style w:type="character" w:customStyle="1" w:styleId="apple-converted-space">
    <w:name w:val="apple-converted-space"/>
    <w:basedOn w:val="DefaultParagraphFont"/>
    <w:rsid w:val="007721ED"/>
  </w:style>
  <w:style w:type="character" w:styleId="Hyperlink">
    <w:name w:val="Hyperlink"/>
    <w:uiPriority w:val="99"/>
    <w:unhideWhenUsed/>
    <w:qFormat/>
    <w:rsid w:val="007721ED"/>
    <w:rPr>
      <w:color w:val="0563C1"/>
      <w:u w:val="single"/>
    </w:rPr>
  </w:style>
  <w:style w:type="character" w:styleId="FootnoteReference">
    <w:name w:val="footnote reference"/>
    <w:uiPriority w:val="99"/>
    <w:unhideWhenUsed/>
    <w:rsid w:val="007721ED"/>
    <w:rPr>
      <w:vertAlign w:val="superscript"/>
    </w:rPr>
  </w:style>
  <w:style w:type="character" w:styleId="CommentReference">
    <w:name w:val="annotation reference"/>
    <w:uiPriority w:val="99"/>
    <w:unhideWhenUsed/>
    <w:rsid w:val="007721ED"/>
    <w:rPr>
      <w:sz w:val="16"/>
      <w:szCs w:val="16"/>
    </w:rPr>
  </w:style>
  <w:style w:type="paragraph" w:customStyle="1" w:styleId="IJOPCMTitle">
    <w:name w:val="IJOPCM Title"/>
    <w:basedOn w:val="Heading1"/>
    <w:rsid w:val="007721ED"/>
    <w:pPr>
      <w:keepLines w:val="0"/>
      <w:spacing w:before="0" w:after="240" w:line="520" w:lineRule="exact"/>
      <w:jc w:val="center"/>
    </w:pPr>
    <w:rPr>
      <w:rFonts w:ascii="Times New Roman" w:eastAsia="Batang" w:hAnsi="Times New Roman" w:cs="Arial"/>
      <w:color w:val="auto"/>
      <w:kern w:val="32"/>
      <w:sz w:val="40"/>
      <w:szCs w:val="32"/>
      <w:lang w:eastAsia="ko-KR"/>
    </w:rPr>
  </w:style>
  <w:style w:type="paragraph" w:styleId="ListParagraph">
    <w:name w:val="List Paragraph"/>
    <w:aliases w:val="Heading 41,Heading 411,Heading 42,spasi 2 taiiii"/>
    <w:basedOn w:val="Normal"/>
    <w:link w:val="ListParagraphChar"/>
    <w:uiPriority w:val="34"/>
    <w:qFormat/>
    <w:rsid w:val="007721ED"/>
    <w:pPr>
      <w:spacing w:after="200" w:line="276" w:lineRule="auto"/>
      <w:ind w:left="720"/>
      <w:contextualSpacing/>
    </w:pPr>
    <w:rPr>
      <w:lang w:val="id-ID"/>
    </w:rPr>
  </w:style>
  <w:style w:type="paragraph" w:customStyle="1" w:styleId="ResumeText">
    <w:name w:val="Resume Text"/>
    <w:basedOn w:val="Normal"/>
    <w:qFormat/>
    <w:rsid w:val="007721ED"/>
    <w:pPr>
      <w:spacing w:before="40" w:after="40" w:line="288" w:lineRule="auto"/>
      <w:ind w:right="1440"/>
    </w:pPr>
    <w:rPr>
      <w:rFonts w:ascii="Calibri" w:eastAsia="Calibri" w:hAnsi="Calibri"/>
      <w:color w:val="595959"/>
      <w:kern w:val="20"/>
      <w:sz w:val="20"/>
      <w:szCs w:val="20"/>
      <w:lang w:eastAsia="ja-JP"/>
    </w:rPr>
  </w:style>
  <w:style w:type="paragraph" w:styleId="NoSpacing">
    <w:name w:val="No Spacing"/>
    <w:uiPriority w:val="1"/>
    <w:qFormat/>
    <w:rsid w:val="007721ED"/>
    <w:rPr>
      <w:sz w:val="22"/>
      <w:szCs w:val="22"/>
      <w:lang w:val="id-ID"/>
    </w:rPr>
  </w:style>
  <w:style w:type="paragraph" w:styleId="Bibliography">
    <w:name w:val="Bibliography"/>
    <w:basedOn w:val="Normal"/>
    <w:next w:val="Normal"/>
    <w:uiPriority w:val="37"/>
    <w:unhideWhenUsed/>
    <w:rsid w:val="007721ED"/>
    <w:rPr>
      <w:lang w:val="id-ID"/>
    </w:rPr>
  </w:style>
  <w:style w:type="paragraph" w:customStyle="1" w:styleId="TableParagraph">
    <w:name w:val="Table Paragraph"/>
    <w:basedOn w:val="Normal"/>
    <w:uiPriority w:val="1"/>
    <w:qFormat/>
    <w:rsid w:val="007721ED"/>
    <w:pPr>
      <w:widowControl w:val="0"/>
      <w:autoSpaceDE w:val="0"/>
      <w:autoSpaceDN w:val="0"/>
      <w:spacing w:after="0" w:line="233" w:lineRule="exact"/>
      <w:jc w:val="right"/>
    </w:pPr>
    <w:rPr>
      <w:rFonts w:eastAsia="Times New Roman"/>
      <w:lang w:bidi="en-US"/>
    </w:rPr>
  </w:style>
  <w:style w:type="paragraph" w:customStyle="1" w:styleId="JudulArtikel">
    <w:name w:val="Judul Artikel"/>
    <w:basedOn w:val="Normal"/>
    <w:link w:val="JudulArtikelChar"/>
    <w:qFormat/>
    <w:rsid w:val="007721ED"/>
    <w:pPr>
      <w:spacing w:line="240" w:lineRule="auto"/>
      <w:jc w:val="center"/>
    </w:pPr>
    <w:rPr>
      <w:b/>
      <w:sz w:val="28"/>
      <w:szCs w:val="20"/>
      <w:lang w:val="en-ID" w:eastAsia="en-ID"/>
    </w:rPr>
  </w:style>
  <w:style w:type="paragraph" w:customStyle="1" w:styleId="NamaPenulis">
    <w:name w:val="Nama Penulis"/>
    <w:basedOn w:val="JudulArtikel"/>
    <w:link w:val="NamaPenulisChar"/>
    <w:qFormat/>
    <w:rsid w:val="007721ED"/>
    <w:pPr>
      <w:spacing w:after="0"/>
    </w:pPr>
    <w:rPr>
      <w:sz w:val="24"/>
    </w:rPr>
  </w:style>
  <w:style w:type="paragraph" w:customStyle="1" w:styleId="AbstrakIndonesia">
    <w:name w:val="Abstrak (Indonesia)"/>
    <w:basedOn w:val="Normal"/>
    <w:link w:val="AbstrakIndonesiaChar"/>
    <w:qFormat/>
    <w:rsid w:val="007721ED"/>
    <w:pPr>
      <w:spacing w:line="240" w:lineRule="auto"/>
      <w:ind w:left="1134" w:right="1134"/>
      <w:jc w:val="both"/>
    </w:pPr>
    <w:rPr>
      <w:sz w:val="20"/>
      <w:szCs w:val="20"/>
      <w:lang w:val="id-ID" w:eastAsia="en-ID"/>
    </w:rPr>
  </w:style>
  <w:style w:type="paragraph" w:customStyle="1" w:styleId="KataKunci">
    <w:name w:val="Kata Kunci"/>
    <w:basedOn w:val="AbstrakIndonesia"/>
    <w:link w:val="KataKunciChar"/>
    <w:qFormat/>
    <w:rsid w:val="007721ED"/>
    <w:pPr>
      <w:spacing w:before="120" w:after="240" w:line="480" w:lineRule="auto"/>
    </w:pPr>
  </w:style>
  <w:style w:type="paragraph" w:customStyle="1" w:styleId="Paragraf">
    <w:name w:val="Paragraf"/>
    <w:basedOn w:val="Heading1"/>
    <w:link w:val="ParagrafChar"/>
    <w:qFormat/>
    <w:rsid w:val="007721ED"/>
    <w:pPr>
      <w:keepNext w:val="0"/>
      <w:keepLines w:val="0"/>
      <w:widowControl w:val="0"/>
      <w:spacing w:before="120" w:after="120" w:line="480" w:lineRule="auto"/>
      <w:ind w:firstLine="567"/>
      <w:jc w:val="both"/>
    </w:pPr>
    <w:rPr>
      <w:rFonts w:ascii="Times New Roman" w:hAnsi="Times New Roman"/>
      <w:sz w:val="24"/>
      <w:szCs w:val="32"/>
      <w:lang w:val="en-ID" w:eastAsia="en-ID"/>
    </w:rPr>
  </w:style>
  <w:style w:type="paragraph" w:customStyle="1" w:styleId="Default">
    <w:name w:val="Default"/>
    <w:rsid w:val="007721ED"/>
    <w:pPr>
      <w:autoSpaceDE w:val="0"/>
      <w:autoSpaceDN w:val="0"/>
      <w:adjustRightInd w:val="0"/>
    </w:pPr>
    <w:rPr>
      <w:rFonts w:ascii="Bookman Old Style" w:eastAsia="Times New Roman" w:hAnsi="Bookman Old Style" w:cs="Bookman Old Style"/>
      <w:color w:val="000000"/>
      <w:sz w:val="24"/>
      <w:szCs w:val="24"/>
    </w:rPr>
  </w:style>
  <w:style w:type="paragraph" w:customStyle="1" w:styleId="ListParagraph1">
    <w:name w:val="List Paragraph1"/>
    <w:basedOn w:val="Normal"/>
    <w:uiPriority w:val="34"/>
    <w:qFormat/>
    <w:rsid w:val="007721ED"/>
    <w:pPr>
      <w:spacing w:after="200" w:line="276" w:lineRule="auto"/>
      <w:ind w:left="720"/>
      <w:contextualSpacing/>
    </w:pPr>
    <w:rPr>
      <w:rFonts w:eastAsia="Times New Roman"/>
      <w:lang w:val="id-ID"/>
    </w:rPr>
  </w:style>
  <w:style w:type="paragraph" w:styleId="NormalWeb">
    <w:name w:val="Normal (Web)"/>
    <w:basedOn w:val="Normal"/>
    <w:uiPriority w:val="99"/>
    <w:unhideWhenUsed/>
    <w:rsid w:val="007721ED"/>
    <w:pPr>
      <w:spacing w:before="100" w:beforeAutospacing="1" w:after="100" w:afterAutospacing="1" w:line="240" w:lineRule="auto"/>
    </w:pPr>
    <w:rPr>
      <w:rFonts w:eastAsia="Times New Roman"/>
      <w:sz w:val="24"/>
      <w:szCs w:val="24"/>
    </w:rPr>
  </w:style>
  <w:style w:type="paragraph" w:styleId="List">
    <w:name w:val="List"/>
    <w:basedOn w:val="Normal"/>
    <w:uiPriority w:val="99"/>
    <w:unhideWhenUsed/>
    <w:rsid w:val="007721ED"/>
    <w:pPr>
      <w:spacing w:before="100" w:beforeAutospacing="1" w:after="100" w:afterAutospacing="1" w:line="240" w:lineRule="auto"/>
    </w:pPr>
    <w:rPr>
      <w:rFonts w:eastAsia="Times New Roman"/>
      <w:sz w:val="24"/>
      <w:szCs w:val="24"/>
      <w:lang w:val="id-ID" w:eastAsia="id-ID"/>
    </w:rPr>
  </w:style>
  <w:style w:type="paragraph" w:styleId="HTMLPreformatted">
    <w:name w:val="HTML Preformatted"/>
    <w:basedOn w:val="Normal"/>
    <w:link w:val="HTMLPreformattedChar"/>
    <w:uiPriority w:val="99"/>
    <w:unhideWhenUsed/>
    <w:rsid w:val="00772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paragraph" w:styleId="Header">
    <w:name w:val="header"/>
    <w:basedOn w:val="Normal"/>
    <w:link w:val="HeaderChar"/>
    <w:uiPriority w:val="99"/>
    <w:unhideWhenUsed/>
    <w:rsid w:val="007721ED"/>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7721ED"/>
    <w:pPr>
      <w:spacing w:after="0" w:line="240" w:lineRule="auto"/>
    </w:pPr>
    <w:rPr>
      <w:sz w:val="20"/>
      <w:szCs w:val="20"/>
    </w:rPr>
  </w:style>
  <w:style w:type="paragraph" w:styleId="Footer">
    <w:name w:val="footer"/>
    <w:basedOn w:val="Normal"/>
    <w:link w:val="FooterChar"/>
    <w:uiPriority w:val="99"/>
    <w:unhideWhenUsed/>
    <w:rsid w:val="007721ED"/>
    <w:pPr>
      <w:tabs>
        <w:tab w:val="center" w:pos="4680"/>
        <w:tab w:val="right" w:pos="9360"/>
      </w:tabs>
      <w:spacing w:after="0" w:line="240" w:lineRule="auto"/>
    </w:pPr>
  </w:style>
  <w:style w:type="paragraph" w:styleId="BalloonText">
    <w:name w:val="Balloon Text"/>
    <w:basedOn w:val="Normal"/>
    <w:link w:val="BalloonTextChar"/>
    <w:uiPriority w:val="99"/>
    <w:unhideWhenUsed/>
    <w:rsid w:val="007721ED"/>
    <w:pPr>
      <w:spacing w:after="0" w:line="240" w:lineRule="auto"/>
    </w:pPr>
    <w:rPr>
      <w:rFonts w:ascii="Tahoma" w:hAnsi="Tahoma"/>
      <w:sz w:val="16"/>
      <w:szCs w:val="16"/>
    </w:rPr>
  </w:style>
  <w:style w:type="paragraph" w:styleId="BodyText">
    <w:name w:val="Body Text"/>
    <w:basedOn w:val="Normal"/>
    <w:link w:val="BodyTextChar"/>
    <w:uiPriority w:val="1"/>
    <w:qFormat/>
    <w:rsid w:val="007721ED"/>
    <w:pPr>
      <w:widowControl w:val="0"/>
      <w:autoSpaceDE w:val="0"/>
      <w:autoSpaceDN w:val="0"/>
      <w:spacing w:after="0" w:line="240" w:lineRule="auto"/>
    </w:pPr>
    <w:rPr>
      <w:rFonts w:eastAsia="Times New Roman"/>
      <w:lang w:bidi="en-US"/>
    </w:rPr>
  </w:style>
  <w:style w:type="paragraph" w:styleId="Caption">
    <w:name w:val="caption"/>
    <w:basedOn w:val="Normal"/>
    <w:next w:val="Normal"/>
    <w:link w:val="CaptionChar"/>
    <w:qFormat/>
    <w:rsid w:val="007721ED"/>
    <w:pPr>
      <w:spacing w:before="60" w:after="200" w:line="240" w:lineRule="auto"/>
      <w:ind w:left="567" w:hanging="567"/>
    </w:pPr>
    <w:rPr>
      <w:rFonts w:eastAsia="Times New Roman"/>
      <w:bCs/>
      <w:sz w:val="24"/>
      <w:szCs w:val="18"/>
      <w:lang w:eastAsia="ja-JP"/>
    </w:rPr>
  </w:style>
  <w:style w:type="paragraph" w:styleId="CommentText">
    <w:name w:val="annotation text"/>
    <w:basedOn w:val="Normal"/>
    <w:link w:val="CommentTextChar"/>
    <w:uiPriority w:val="99"/>
    <w:unhideWhenUsed/>
    <w:rsid w:val="007721ED"/>
    <w:pPr>
      <w:spacing w:line="240" w:lineRule="auto"/>
    </w:pPr>
    <w:rPr>
      <w:sz w:val="20"/>
      <w:szCs w:val="20"/>
    </w:rPr>
  </w:style>
  <w:style w:type="paragraph" w:styleId="CommentSubject">
    <w:name w:val="annotation subject"/>
    <w:basedOn w:val="CommentText"/>
    <w:next w:val="CommentText"/>
    <w:link w:val="CommentSubjectChar"/>
    <w:uiPriority w:val="99"/>
    <w:unhideWhenUsed/>
    <w:rsid w:val="007721ED"/>
    <w:rPr>
      <w:b/>
      <w:bCs/>
    </w:rPr>
  </w:style>
  <w:style w:type="table" w:styleId="TableGrid">
    <w:name w:val="Table Grid"/>
    <w:basedOn w:val="TableNormal"/>
    <w:uiPriority w:val="59"/>
    <w:rsid w:val="007721ED"/>
    <w:rPr>
      <w:rFonts w:eastAsia="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semiHidden/>
    <w:unhideWhenUsed/>
    <w:rsid w:val="00F921C1"/>
    <w:rPr>
      <w:color w:val="605E5C"/>
      <w:shd w:val="clear" w:color="auto" w:fill="E1DFDD"/>
    </w:rPr>
  </w:style>
  <w:style w:type="character" w:styleId="FollowedHyperlink">
    <w:name w:val="FollowedHyperlink"/>
    <w:uiPriority w:val="99"/>
    <w:semiHidden/>
    <w:unhideWhenUsed/>
    <w:rsid w:val="00F921C1"/>
    <w:rPr>
      <w:color w:val="954F72"/>
      <w:u w:val="single"/>
    </w:rPr>
  </w:style>
  <w:style w:type="character" w:customStyle="1" w:styleId="Heading4Char">
    <w:name w:val="Heading 4 Char"/>
    <w:basedOn w:val="DefaultParagraphFont"/>
    <w:link w:val="Heading4"/>
    <w:uiPriority w:val="9"/>
    <w:semiHidden/>
    <w:rsid w:val="00345D67"/>
    <w:rPr>
      <w:rFonts w:ascii="Cambria" w:eastAsia="Times New Roman" w:hAnsi="Cambria"/>
      <w:i/>
      <w:iCs/>
      <w:color w:val="31849B"/>
      <w:sz w:val="25"/>
      <w:szCs w:val="25"/>
      <w:lang w:val="en-US" w:eastAsia="en-US"/>
    </w:rPr>
  </w:style>
  <w:style w:type="character" w:customStyle="1" w:styleId="Heading5Char">
    <w:name w:val="Heading 5 Char"/>
    <w:basedOn w:val="DefaultParagraphFont"/>
    <w:link w:val="Heading5"/>
    <w:uiPriority w:val="9"/>
    <w:semiHidden/>
    <w:rsid w:val="00345D67"/>
    <w:rPr>
      <w:rFonts w:ascii="Cambria" w:eastAsia="Times New Roman" w:hAnsi="Cambria"/>
      <w:i/>
      <w:iCs/>
      <w:color w:val="632423"/>
      <w:sz w:val="24"/>
      <w:szCs w:val="24"/>
      <w:lang w:val="en-US" w:eastAsia="en-US"/>
    </w:rPr>
  </w:style>
  <w:style w:type="character" w:customStyle="1" w:styleId="Heading6Char">
    <w:name w:val="Heading 6 Char"/>
    <w:basedOn w:val="DefaultParagraphFont"/>
    <w:link w:val="Heading6"/>
    <w:uiPriority w:val="9"/>
    <w:semiHidden/>
    <w:rsid w:val="00345D67"/>
    <w:rPr>
      <w:rFonts w:ascii="Cambria" w:eastAsia="Times New Roman" w:hAnsi="Cambria"/>
      <w:i/>
      <w:iCs/>
      <w:color w:val="984806"/>
      <w:sz w:val="23"/>
      <w:szCs w:val="23"/>
      <w:lang w:val="en-US" w:eastAsia="en-US"/>
    </w:rPr>
  </w:style>
  <w:style w:type="character" w:customStyle="1" w:styleId="Heading7Char">
    <w:name w:val="Heading 7 Char"/>
    <w:basedOn w:val="DefaultParagraphFont"/>
    <w:link w:val="Heading7"/>
    <w:uiPriority w:val="9"/>
    <w:semiHidden/>
    <w:rsid w:val="00345D67"/>
    <w:rPr>
      <w:rFonts w:ascii="Cambria" w:eastAsia="Times New Roman" w:hAnsi="Cambria"/>
      <w:color w:val="244061"/>
      <w:sz w:val="22"/>
      <w:szCs w:val="22"/>
      <w:lang w:val="en-US" w:eastAsia="en-US"/>
    </w:rPr>
  </w:style>
  <w:style w:type="character" w:customStyle="1" w:styleId="Heading8Char">
    <w:name w:val="Heading 8 Char"/>
    <w:basedOn w:val="DefaultParagraphFont"/>
    <w:link w:val="Heading8"/>
    <w:uiPriority w:val="9"/>
    <w:semiHidden/>
    <w:rsid w:val="00345D67"/>
    <w:rPr>
      <w:rFonts w:ascii="Cambria" w:eastAsia="Times New Roman" w:hAnsi="Cambria"/>
      <w:color w:val="632423"/>
      <w:sz w:val="21"/>
      <w:szCs w:val="21"/>
      <w:lang w:val="en-US" w:eastAsia="en-US"/>
    </w:rPr>
  </w:style>
  <w:style w:type="character" w:customStyle="1" w:styleId="Heading9Char">
    <w:name w:val="Heading 9 Char"/>
    <w:basedOn w:val="DefaultParagraphFont"/>
    <w:link w:val="Heading9"/>
    <w:uiPriority w:val="9"/>
    <w:semiHidden/>
    <w:rsid w:val="00345D67"/>
    <w:rPr>
      <w:rFonts w:ascii="Cambria" w:eastAsia="Times New Roman" w:hAnsi="Cambria"/>
      <w:color w:val="984806"/>
      <w:sz w:val="22"/>
      <w:szCs w:val="22"/>
      <w:lang w:val="en-US" w:eastAsia="en-US"/>
    </w:rPr>
  </w:style>
  <w:style w:type="paragraph" w:styleId="Title">
    <w:name w:val="Title"/>
    <w:basedOn w:val="Normal"/>
    <w:next w:val="Normal"/>
    <w:link w:val="TitleChar"/>
    <w:uiPriority w:val="10"/>
    <w:qFormat/>
    <w:rsid w:val="00345D67"/>
    <w:pPr>
      <w:spacing w:after="0" w:line="240" w:lineRule="auto"/>
      <w:contextualSpacing/>
    </w:pPr>
    <w:rPr>
      <w:rFonts w:ascii="Cambria" w:eastAsia="Times New Roman" w:hAnsi="Cambria"/>
      <w:color w:val="365F91"/>
      <w:spacing w:val="-10"/>
      <w:sz w:val="52"/>
      <w:szCs w:val="52"/>
    </w:rPr>
  </w:style>
  <w:style w:type="character" w:customStyle="1" w:styleId="TitleChar">
    <w:name w:val="Title Char"/>
    <w:basedOn w:val="DefaultParagraphFont"/>
    <w:link w:val="Title"/>
    <w:uiPriority w:val="10"/>
    <w:rsid w:val="00345D67"/>
    <w:rPr>
      <w:rFonts w:ascii="Cambria" w:eastAsia="Times New Roman" w:hAnsi="Cambria"/>
      <w:color w:val="365F91"/>
      <w:spacing w:val="-10"/>
      <w:sz w:val="52"/>
      <w:szCs w:val="52"/>
      <w:lang w:val="en-US" w:eastAsia="en-US"/>
    </w:rPr>
  </w:style>
  <w:style w:type="paragraph" w:styleId="Subtitle">
    <w:name w:val="Subtitle"/>
    <w:basedOn w:val="Normal"/>
    <w:next w:val="Normal"/>
    <w:link w:val="SubtitleChar"/>
    <w:uiPriority w:val="11"/>
    <w:qFormat/>
    <w:rsid w:val="00345D67"/>
    <w:pPr>
      <w:numPr>
        <w:ilvl w:val="1"/>
      </w:numPr>
      <w:spacing w:line="240" w:lineRule="auto"/>
    </w:pPr>
    <w:rPr>
      <w:rFonts w:ascii="Cambria" w:eastAsia="Times New Roman" w:hAnsi="Cambria"/>
    </w:rPr>
  </w:style>
  <w:style w:type="character" w:customStyle="1" w:styleId="SubtitleChar">
    <w:name w:val="Subtitle Char"/>
    <w:basedOn w:val="DefaultParagraphFont"/>
    <w:link w:val="Subtitle"/>
    <w:uiPriority w:val="11"/>
    <w:rsid w:val="00345D67"/>
    <w:rPr>
      <w:rFonts w:ascii="Cambria" w:eastAsia="Times New Roman" w:hAnsi="Cambria"/>
      <w:sz w:val="22"/>
      <w:szCs w:val="22"/>
      <w:lang w:val="en-US" w:eastAsia="en-US"/>
    </w:rPr>
  </w:style>
  <w:style w:type="character" w:styleId="Strong">
    <w:name w:val="Strong"/>
    <w:uiPriority w:val="22"/>
    <w:qFormat/>
    <w:rsid w:val="00345D67"/>
    <w:rPr>
      <w:b/>
      <w:bCs/>
    </w:rPr>
  </w:style>
  <w:style w:type="character" w:styleId="Emphasis">
    <w:name w:val="Emphasis"/>
    <w:uiPriority w:val="20"/>
    <w:qFormat/>
    <w:rsid w:val="00345D67"/>
    <w:rPr>
      <w:i/>
      <w:iCs/>
    </w:rPr>
  </w:style>
  <w:style w:type="paragraph" w:styleId="Quote">
    <w:name w:val="Quote"/>
    <w:basedOn w:val="Normal"/>
    <w:next w:val="Normal"/>
    <w:link w:val="QuoteChar"/>
    <w:uiPriority w:val="29"/>
    <w:qFormat/>
    <w:rsid w:val="00345D67"/>
    <w:pPr>
      <w:spacing w:before="120"/>
      <w:ind w:left="720" w:right="720"/>
      <w:jc w:val="center"/>
    </w:pPr>
    <w:rPr>
      <w:rFonts w:ascii="Calibri" w:eastAsia="Times New Roman" w:hAnsi="Calibri"/>
      <w:i/>
      <w:iCs/>
    </w:rPr>
  </w:style>
  <w:style w:type="character" w:customStyle="1" w:styleId="QuoteChar">
    <w:name w:val="Quote Char"/>
    <w:basedOn w:val="DefaultParagraphFont"/>
    <w:link w:val="Quote"/>
    <w:uiPriority w:val="29"/>
    <w:rsid w:val="00345D67"/>
    <w:rPr>
      <w:rFonts w:ascii="Calibri" w:eastAsia="Times New Roman" w:hAnsi="Calibri"/>
      <w:i/>
      <w:iCs/>
      <w:sz w:val="22"/>
      <w:szCs w:val="22"/>
      <w:lang w:val="en-US" w:eastAsia="en-US"/>
    </w:rPr>
  </w:style>
  <w:style w:type="paragraph" w:styleId="IntenseQuote">
    <w:name w:val="Intense Quote"/>
    <w:basedOn w:val="Normal"/>
    <w:next w:val="Normal"/>
    <w:link w:val="IntenseQuoteChar"/>
    <w:uiPriority w:val="30"/>
    <w:qFormat/>
    <w:rsid w:val="00345D67"/>
    <w:pPr>
      <w:spacing w:before="120" w:line="300" w:lineRule="auto"/>
      <w:ind w:left="576" w:right="576"/>
      <w:jc w:val="center"/>
    </w:pPr>
    <w:rPr>
      <w:rFonts w:ascii="Cambria" w:eastAsia="Times New Roman" w:hAnsi="Cambria"/>
      <w:color w:val="4F81BD"/>
      <w:sz w:val="24"/>
      <w:szCs w:val="24"/>
    </w:rPr>
  </w:style>
  <w:style w:type="character" w:customStyle="1" w:styleId="IntenseQuoteChar">
    <w:name w:val="Intense Quote Char"/>
    <w:basedOn w:val="DefaultParagraphFont"/>
    <w:link w:val="IntenseQuote"/>
    <w:uiPriority w:val="30"/>
    <w:rsid w:val="00345D67"/>
    <w:rPr>
      <w:rFonts w:ascii="Cambria" w:eastAsia="Times New Roman" w:hAnsi="Cambria"/>
      <w:color w:val="4F81BD"/>
      <w:sz w:val="24"/>
      <w:szCs w:val="24"/>
      <w:lang w:val="en-US" w:eastAsia="en-US"/>
    </w:rPr>
  </w:style>
  <w:style w:type="character" w:styleId="SubtleEmphasis">
    <w:name w:val="Subtle Emphasis"/>
    <w:uiPriority w:val="19"/>
    <w:qFormat/>
    <w:rsid w:val="00345D67"/>
    <w:rPr>
      <w:i/>
      <w:iCs/>
      <w:color w:val="404040"/>
    </w:rPr>
  </w:style>
  <w:style w:type="character" w:styleId="IntenseEmphasis">
    <w:name w:val="Intense Emphasis"/>
    <w:uiPriority w:val="21"/>
    <w:qFormat/>
    <w:rsid w:val="00345D67"/>
    <w:rPr>
      <w:b w:val="0"/>
      <w:bCs w:val="0"/>
      <w:i/>
      <w:iCs/>
      <w:color w:val="4F81BD"/>
    </w:rPr>
  </w:style>
  <w:style w:type="character" w:styleId="SubtleReference">
    <w:name w:val="Subtle Reference"/>
    <w:uiPriority w:val="31"/>
    <w:qFormat/>
    <w:rsid w:val="00345D67"/>
    <w:rPr>
      <w:smallCaps/>
      <w:color w:val="404040"/>
      <w:u w:val="single" w:color="7F7F7F"/>
    </w:rPr>
  </w:style>
  <w:style w:type="character" w:styleId="IntenseReference">
    <w:name w:val="Intense Reference"/>
    <w:uiPriority w:val="32"/>
    <w:qFormat/>
    <w:rsid w:val="00345D67"/>
    <w:rPr>
      <w:b/>
      <w:bCs/>
      <w:smallCaps/>
      <w:color w:val="4F81BD"/>
      <w:spacing w:val="5"/>
      <w:u w:val="single"/>
    </w:rPr>
  </w:style>
  <w:style w:type="character" w:styleId="BookTitle">
    <w:name w:val="Book Title"/>
    <w:uiPriority w:val="33"/>
    <w:qFormat/>
    <w:rsid w:val="00345D67"/>
    <w:rPr>
      <w:b/>
      <w:bCs/>
      <w:smallCaps/>
    </w:rPr>
  </w:style>
  <w:style w:type="paragraph" w:styleId="TOCHeading">
    <w:name w:val="TOC Heading"/>
    <w:basedOn w:val="Heading1"/>
    <w:next w:val="Normal"/>
    <w:uiPriority w:val="39"/>
    <w:semiHidden/>
    <w:unhideWhenUsed/>
    <w:qFormat/>
    <w:rsid w:val="00345D67"/>
    <w:pPr>
      <w:spacing w:before="320" w:line="240" w:lineRule="auto"/>
      <w:outlineLvl w:val="9"/>
    </w:pPr>
    <w:rPr>
      <w:rFonts w:ascii="Cambria" w:hAnsi="Cambria"/>
      <w:b w:val="0"/>
      <w:bCs w:val="0"/>
      <w:color w:val="365F91"/>
      <w:sz w:val="30"/>
      <w:szCs w:val="30"/>
    </w:rPr>
  </w:style>
  <w:style w:type="character" w:customStyle="1" w:styleId="fontstyle01">
    <w:name w:val="fontstyle01"/>
    <w:rsid w:val="005E52BA"/>
    <w:rPr>
      <w:rFonts w:ascii="TimesNewRomanPSMT" w:hAnsi="TimesNewRomanPSMT" w:hint="default"/>
      <w:b w:val="0"/>
      <w:bCs w:val="0"/>
      <w:i w:val="0"/>
      <w:iCs w:val="0"/>
      <w:color w:val="242021"/>
      <w:sz w:val="28"/>
      <w:szCs w:val="28"/>
    </w:rPr>
  </w:style>
  <w:style w:type="character" w:customStyle="1" w:styleId="ls5">
    <w:name w:val="ls5"/>
    <w:rsid w:val="009644B9"/>
    <w:rPr>
      <w:rFonts w:cs="Times New Roman"/>
      <w:rtl w:val="0"/>
      <w:cs w:val="0"/>
    </w:rPr>
  </w:style>
  <w:style w:type="character" w:styleId="PlaceholderText">
    <w:name w:val="Placeholder Text"/>
    <w:basedOn w:val="DefaultParagraphFont"/>
    <w:uiPriority w:val="99"/>
    <w:unhideWhenUsed/>
    <w:rsid w:val="00DC6F8D"/>
    <w:rPr>
      <w:color w:val="808080"/>
    </w:rPr>
  </w:style>
  <w:style w:type="character" w:customStyle="1" w:styleId="y2iqfc">
    <w:name w:val="y2iqfc"/>
    <w:basedOn w:val="DefaultParagraphFont"/>
    <w:rsid w:val="00962B8C"/>
  </w:style>
  <w:style w:type="character" w:customStyle="1" w:styleId="UnresolvedMention2">
    <w:name w:val="Unresolved Mention2"/>
    <w:basedOn w:val="DefaultParagraphFont"/>
    <w:uiPriority w:val="99"/>
    <w:semiHidden/>
    <w:unhideWhenUsed/>
    <w:rsid w:val="00971440"/>
    <w:rPr>
      <w:color w:val="605E5C"/>
      <w:shd w:val="clear" w:color="auto" w:fill="E1DFDD"/>
    </w:rPr>
  </w:style>
  <w:style w:type="table" w:customStyle="1" w:styleId="PlainTable51">
    <w:name w:val="Plain Table 51"/>
    <w:basedOn w:val="TableNormal"/>
    <w:uiPriority w:val="45"/>
    <w:rsid w:val="0082734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51">
    <w:name w:val="Grid Table 4 - Accent 51"/>
    <w:basedOn w:val="TableNormal"/>
    <w:uiPriority w:val="49"/>
    <w:rsid w:val="0082734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31">
    <w:name w:val="Grid Table 5 Dark - Accent 31"/>
    <w:basedOn w:val="TableNormal"/>
    <w:uiPriority w:val="50"/>
    <w:rsid w:val="008273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2-Accent31">
    <w:name w:val="Grid Table 2 - Accent 31"/>
    <w:basedOn w:val="TableNormal"/>
    <w:uiPriority w:val="47"/>
    <w:rsid w:val="008273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
    <w:name w:val="Grid Table 4 - Accent 31"/>
    <w:basedOn w:val="TableNormal"/>
    <w:uiPriority w:val="49"/>
    <w:rsid w:val="0082734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1">
    <w:name w:val="Plain Table 21"/>
    <w:basedOn w:val="TableNormal"/>
    <w:uiPriority w:val="42"/>
    <w:rsid w:val="001E4B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31">
    <w:name w:val="Grid Table 3 - Accent 31"/>
    <w:basedOn w:val="TableNormal"/>
    <w:uiPriority w:val="48"/>
    <w:rsid w:val="001E4B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customStyle="1" w:styleId="UnresolvedMention3">
    <w:name w:val="Unresolved Mention3"/>
    <w:basedOn w:val="DefaultParagraphFont"/>
    <w:uiPriority w:val="99"/>
    <w:semiHidden/>
    <w:unhideWhenUsed/>
    <w:rsid w:val="0006485B"/>
    <w:rPr>
      <w:color w:val="605E5C"/>
      <w:shd w:val="clear" w:color="auto" w:fill="E1DFDD"/>
    </w:rPr>
  </w:style>
  <w:style w:type="table" w:customStyle="1" w:styleId="GridTable1Light">
    <w:name w:val="Grid Table 1 Light"/>
    <w:basedOn w:val="TableNormal"/>
    <w:uiPriority w:val="46"/>
    <w:rsid w:val="00E432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
    <w:name w:val="Plain Table 3"/>
    <w:basedOn w:val="TableNormal"/>
    <w:uiPriority w:val="43"/>
    <w:rsid w:val="00E4325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basedOn w:val="DefaultParagraphFont"/>
    <w:uiPriority w:val="99"/>
    <w:semiHidden/>
    <w:unhideWhenUsed/>
    <w:rsid w:val="00B006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annotation text" w:semiHidden="0"/>
    <w:lsdException w:name="header" w:semiHidden="0"/>
    <w:lsdException w:name="footer" w:semiHidden="0"/>
    <w:lsdException w:name="caption" w:semiHidden="0" w:uiPriority="35" w:unhideWhenUsed="0" w:qFormat="1"/>
    <w:lsdException w:name="footnote reference" w:semiHidden="0"/>
    <w:lsdException w:name="annotation reference" w:semiHidden="0"/>
    <w:lsdException w:name="List" w:semiHidden="0"/>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HTML Preformatted" w:semiHidden="0"/>
    <w:lsdException w:name="Normal Table" w:qFormat="1"/>
    <w:lsdException w:name="annotation subject" w:semiHidden="0"/>
    <w:lsdException w:name="Balloon Text"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AA"/>
    <w:pPr>
      <w:spacing w:after="160" w:line="259" w:lineRule="auto"/>
    </w:pPr>
    <w:rPr>
      <w:sz w:val="22"/>
      <w:szCs w:val="22"/>
    </w:rPr>
  </w:style>
  <w:style w:type="paragraph" w:styleId="Heading1">
    <w:name w:val="heading 1"/>
    <w:basedOn w:val="Normal"/>
    <w:next w:val="Normal"/>
    <w:link w:val="Heading1Char"/>
    <w:uiPriority w:val="9"/>
    <w:qFormat/>
    <w:rsid w:val="007721ED"/>
    <w:pPr>
      <w:keepNext/>
      <w:keepLines/>
      <w:spacing w:before="480" w:after="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qFormat/>
    <w:rsid w:val="007721ED"/>
    <w:pPr>
      <w:keepNext/>
      <w:keepLines/>
      <w:spacing w:before="200" w:after="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qFormat/>
    <w:rsid w:val="007721ED"/>
    <w:pPr>
      <w:keepNext/>
      <w:keepLines/>
      <w:spacing w:before="200" w:after="0"/>
      <w:outlineLvl w:val="2"/>
    </w:pPr>
    <w:rPr>
      <w:rFonts w:ascii="Calibri Light" w:eastAsia="Times New Roman" w:hAnsi="Calibri Light"/>
      <w:b/>
      <w:bCs/>
      <w:color w:val="5B9BD5"/>
      <w:sz w:val="20"/>
      <w:szCs w:val="20"/>
    </w:rPr>
  </w:style>
  <w:style w:type="paragraph" w:styleId="Heading4">
    <w:name w:val="heading 4"/>
    <w:basedOn w:val="Normal"/>
    <w:next w:val="Normal"/>
    <w:link w:val="Heading4Char"/>
    <w:uiPriority w:val="9"/>
    <w:semiHidden/>
    <w:unhideWhenUsed/>
    <w:qFormat/>
    <w:rsid w:val="00345D67"/>
    <w:pPr>
      <w:keepNext/>
      <w:keepLines/>
      <w:spacing w:before="40" w:after="0"/>
      <w:outlineLvl w:val="3"/>
    </w:pPr>
    <w:rPr>
      <w:rFonts w:ascii="Cambria" w:eastAsia="Times New Roman" w:hAnsi="Cambria"/>
      <w:i/>
      <w:iCs/>
      <w:color w:val="31849B"/>
      <w:sz w:val="25"/>
      <w:szCs w:val="25"/>
    </w:rPr>
  </w:style>
  <w:style w:type="paragraph" w:styleId="Heading5">
    <w:name w:val="heading 5"/>
    <w:basedOn w:val="Normal"/>
    <w:next w:val="Normal"/>
    <w:link w:val="Heading5Char"/>
    <w:uiPriority w:val="9"/>
    <w:semiHidden/>
    <w:unhideWhenUsed/>
    <w:qFormat/>
    <w:rsid w:val="00345D67"/>
    <w:pPr>
      <w:keepNext/>
      <w:keepLines/>
      <w:spacing w:before="40" w:after="0"/>
      <w:outlineLvl w:val="4"/>
    </w:pPr>
    <w:rPr>
      <w:rFonts w:ascii="Cambria" w:eastAsia="Times New Roman" w:hAnsi="Cambria"/>
      <w:i/>
      <w:iCs/>
      <w:color w:val="632423"/>
      <w:sz w:val="24"/>
      <w:szCs w:val="24"/>
    </w:rPr>
  </w:style>
  <w:style w:type="paragraph" w:styleId="Heading6">
    <w:name w:val="heading 6"/>
    <w:basedOn w:val="Normal"/>
    <w:next w:val="Normal"/>
    <w:link w:val="Heading6Char"/>
    <w:uiPriority w:val="9"/>
    <w:semiHidden/>
    <w:unhideWhenUsed/>
    <w:qFormat/>
    <w:rsid w:val="00345D67"/>
    <w:pPr>
      <w:keepNext/>
      <w:keepLines/>
      <w:spacing w:before="40" w:after="0"/>
      <w:outlineLvl w:val="5"/>
    </w:pPr>
    <w:rPr>
      <w:rFonts w:ascii="Cambria" w:eastAsia="Times New Roman" w:hAnsi="Cambria"/>
      <w:i/>
      <w:iCs/>
      <w:color w:val="984806"/>
      <w:sz w:val="23"/>
      <w:szCs w:val="23"/>
    </w:rPr>
  </w:style>
  <w:style w:type="paragraph" w:styleId="Heading7">
    <w:name w:val="heading 7"/>
    <w:basedOn w:val="Normal"/>
    <w:next w:val="Normal"/>
    <w:link w:val="Heading7Char"/>
    <w:uiPriority w:val="9"/>
    <w:semiHidden/>
    <w:unhideWhenUsed/>
    <w:qFormat/>
    <w:rsid w:val="00345D67"/>
    <w:pPr>
      <w:keepNext/>
      <w:keepLines/>
      <w:spacing w:before="40" w:after="0"/>
      <w:outlineLvl w:val="6"/>
    </w:pPr>
    <w:rPr>
      <w:rFonts w:ascii="Cambria" w:eastAsia="Times New Roman" w:hAnsi="Cambria"/>
      <w:color w:val="244061"/>
    </w:rPr>
  </w:style>
  <w:style w:type="paragraph" w:styleId="Heading8">
    <w:name w:val="heading 8"/>
    <w:basedOn w:val="Normal"/>
    <w:next w:val="Normal"/>
    <w:link w:val="Heading8Char"/>
    <w:uiPriority w:val="9"/>
    <w:semiHidden/>
    <w:unhideWhenUsed/>
    <w:qFormat/>
    <w:rsid w:val="00345D67"/>
    <w:pPr>
      <w:keepNext/>
      <w:keepLines/>
      <w:spacing w:before="40" w:after="0"/>
      <w:outlineLvl w:val="7"/>
    </w:pPr>
    <w:rPr>
      <w:rFonts w:ascii="Cambria" w:eastAsia="Times New Roman" w:hAnsi="Cambria"/>
      <w:color w:val="632423"/>
      <w:sz w:val="21"/>
      <w:szCs w:val="21"/>
    </w:rPr>
  </w:style>
  <w:style w:type="paragraph" w:styleId="Heading9">
    <w:name w:val="heading 9"/>
    <w:basedOn w:val="Normal"/>
    <w:next w:val="Normal"/>
    <w:link w:val="Heading9Char"/>
    <w:uiPriority w:val="9"/>
    <w:semiHidden/>
    <w:unhideWhenUsed/>
    <w:qFormat/>
    <w:rsid w:val="00345D67"/>
    <w:pPr>
      <w:keepNext/>
      <w:keepLines/>
      <w:spacing w:before="40" w:after="0"/>
      <w:outlineLvl w:val="8"/>
    </w:pPr>
    <w:rPr>
      <w:rFonts w:ascii="Cambria" w:eastAsia="Times New Roman" w:hAnsi="Cambria"/>
      <w:color w:val="98480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7721ED"/>
  </w:style>
  <w:style w:type="character" w:customStyle="1" w:styleId="FooterChar">
    <w:name w:val="Footer Char"/>
    <w:basedOn w:val="DefaultParagraphFont"/>
    <w:link w:val="Footer"/>
    <w:uiPriority w:val="99"/>
    <w:rsid w:val="007721ED"/>
  </w:style>
  <w:style w:type="character" w:customStyle="1" w:styleId="FootnoteTextChar">
    <w:name w:val="Footnote Text Char"/>
    <w:link w:val="FootnoteText"/>
    <w:uiPriority w:val="99"/>
    <w:rsid w:val="007721ED"/>
    <w:rPr>
      <w:sz w:val="20"/>
      <w:szCs w:val="20"/>
    </w:rPr>
  </w:style>
  <w:style w:type="character" w:customStyle="1" w:styleId="BalloonTextChar">
    <w:name w:val="Balloon Text Char"/>
    <w:link w:val="BalloonText"/>
    <w:uiPriority w:val="99"/>
    <w:semiHidden/>
    <w:rsid w:val="007721ED"/>
    <w:rPr>
      <w:rFonts w:ascii="Tahoma" w:hAnsi="Tahoma" w:cs="Tahoma"/>
      <w:sz w:val="16"/>
      <w:szCs w:val="16"/>
    </w:rPr>
  </w:style>
  <w:style w:type="character" w:customStyle="1" w:styleId="CommentTextChar">
    <w:name w:val="Comment Text Char"/>
    <w:link w:val="CommentText"/>
    <w:uiPriority w:val="99"/>
    <w:semiHidden/>
    <w:rsid w:val="007721ED"/>
    <w:rPr>
      <w:sz w:val="20"/>
      <w:szCs w:val="20"/>
    </w:rPr>
  </w:style>
  <w:style w:type="character" w:customStyle="1" w:styleId="CommentSubjectChar">
    <w:name w:val="Comment Subject Char"/>
    <w:link w:val="CommentSubject"/>
    <w:uiPriority w:val="99"/>
    <w:semiHidden/>
    <w:rsid w:val="007721ED"/>
    <w:rPr>
      <w:b/>
      <w:bCs/>
      <w:sz w:val="20"/>
      <w:szCs w:val="20"/>
    </w:rPr>
  </w:style>
  <w:style w:type="character" w:customStyle="1" w:styleId="CaptionChar">
    <w:name w:val="Caption Char"/>
    <w:link w:val="Caption"/>
    <w:rsid w:val="007721ED"/>
    <w:rPr>
      <w:rFonts w:ascii="Times New Roman" w:eastAsia="Times New Roman" w:hAnsi="Times New Roman" w:cs="Times New Roman"/>
      <w:bCs/>
      <w:sz w:val="24"/>
      <w:szCs w:val="18"/>
      <w:lang w:eastAsia="ja-JP"/>
    </w:rPr>
  </w:style>
  <w:style w:type="character" w:customStyle="1" w:styleId="Heading1Char">
    <w:name w:val="Heading 1 Char"/>
    <w:link w:val="Heading1"/>
    <w:uiPriority w:val="9"/>
    <w:rsid w:val="007721ED"/>
    <w:rPr>
      <w:rFonts w:ascii="Calibri Light" w:eastAsia="Times New Roman" w:hAnsi="Calibri Light" w:cs="Times New Roman"/>
      <w:b/>
      <w:bCs/>
      <w:color w:val="2E74B5"/>
      <w:sz w:val="28"/>
      <w:szCs w:val="28"/>
    </w:rPr>
  </w:style>
  <w:style w:type="character" w:customStyle="1" w:styleId="alt-edited">
    <w:name w:val="alt-edited"/>
    <w:basedOn w:val="DefaultParagraphFont"/>
    <w:rsid w:val="007721ED"/>
  </w:style>
  <w:style w:type="character" w:customStyle="1" w:styleId="Heading3Char">
    <w:name w:val="Heading 3 Char"/>
    <w:link w:val="Heading3"/>
    <w:uiPriority w:val="9"/>
    <w:rsid w:val="007721ED"/>
    <w:rPr>
      <w:rFonts w:ascii="Calibri Light" w:eastAsia="Times New Roman" w:hAnsi="Calibri Light" w:cs="Times New Roman"/>
      <w:b/>
      <w:bCs/>
      <w:color w:val="5B9BD5"/>
    </w:rPr>
  </w:style>
  <w:style w:type="character" w:customStyle="1" w:styleId="Heading2Char">
    <w:name w:val="Heading 2 Char"/>
    <w:link w:val="Heading2"/>
    <w:uiPriority w:val="9"/>
    <w:rsid w:val="007721ED"/>
    <w:rPr>
      <w:rFonts w:ascii="Calibri Light" w:eastAsia="Times New Roman" w:hAnsi="Calibri Light" w:cs="Times New Roman"/>
      <w:b/>
      <w:bCs/>
      <w:color w:val="5B9BD5"/>
      <w:sz w:val="26"/>
      <w:szCs w:val="26"/>
    </w:rPr>
  </w:style>
  <w:style w:type="character" w:customStyle="1" w:styleId="A1">
    <w:name w:val="A1"/>
    <w:uiPriority w:val="99"/>
    <w:rsid w:val="007721ED"/>
    <w:rPr>
      <w:color w:val="000000"/>
      <w:sz w:val="22"/>
      <w:szCs w:val="22"/>
    </w:rPr>
  </w:style>
  <w:style w:type="character" w:customStyle="1" w:styleId="A0">
    <w:name w:val="A0"/>
    <w:uiPriority w:val="99"/>
    <w:rsid w:val="007721ED"/>
    <w:rPr>
      <w:b/>
      <w:bCs/>
      <w:color w:val="000000"/>
    </w:rPr>
  </w:style>
  <w:style w:type="character" w:customStyle="1" w:styleId="st">
    <w:name w:val="st"/>
    <w:basedOn w:val="DefaultParagraphFont"/>
    <w:rsid w:val="007721ED"/>
  </w:style>
  <w:style w:type="character" w:customStyle="1" w:styleId="HTMLPreformattedChar">
    <w:name w:val="HTML Preformatted Char"/>
    <w:link w:val="HTMLPreformatted"/>
    <w:uiPriority w:val="99"/>
    <w:rsid w:val="007721ED"/>
    <w:rPr>
      <w:rFonts w:ascii="Courier New" w:eastAsia="Times New Roman" w:hAnsi="Courier New" w:cs="Courier New"/>
      <w:sz w:val="20"/>
      <w:szCs w:val="20"/>
    </w:rPr>
  </w:style>
  <w:style w:type="character" w:customStyle="1" w:styleId="HTMLPreformattedChar1">
    <w:name w:val="HTML Preformatted Char1"/>
    <w:uiPriority w:val="99"/>
    <w:semiHidden/>
    <w:rsid w:val="007721ED"/>
    <w:rPr>
      <w:rFonts w:ascii="Consolas" w:hAnsi="Consolas"/>
      <w:sz w:val="20"/>
      <w:szCs w:val="20"/>
    </w:rPr>
  </w:style>
  <w:style w:type="character" w:customStyle="1" w:styleId="i232a7bq1">
    <w:name w:val="i232a7bq1"/>
    <w:basedOn w:val="DefaultParagraphFont"/>
    <w:rsid w:val="007721ED"/>
  </w:style>
  <w:style w:type="character" w:customStyle="1" w:styleId="A2">
    <w:name w:val="A2"/>
    <w:uiPriority w:val="99"/>
    <w:rsid w:val="007721ED"/>
    <w:rPr>
      <w:color w:val="000000"/>
      <w:sz w:val="12"/>
      <w:szCs w:val="12"/>
    </w:rPr>
  </w:style>
  <w:style w:type="character" w:customStyle="1" w:styleId="ListParagraphChar">
    <w:name w:val="List Paragraph Char"/>
    <w:aliases w:val="Heading 41 Char,Heading 411 Char,Heading 42 Char,spasi 2 taiiii Char"/>
    <w:link w:val="ListParagraph"/>
    <w:uiPriority w:val="34"/>
    <w:locked/>
    <w:rsid w:val="007721ED"/>
    <w:rPr>
      <w:sz w:val="22"/>
      <w:szCs w:val="22"/>
      <w:lang w:val="id-ID"/>
    </w:rPr>
  </w:style>
  <w:style w:type="character" w:customStyle="1" w:styleId="apple-style-span">
    <w:name w:val="apple-style-span"/>
    <w:rsid w:val="007721ED"/>
  </w:style>
  <w:style w:type="character" w:customStyle="1" w:styleId="shorttext">
    <w:name w:val="short_text"/>
    <w:rsid w:val="007721ED"/>
  </w:style>
  <w:style w:type="character" w:customStyle="1" w:styleId="tlid-translation">
    <w:name w:val="tlid-translation"/>
    <w:rsid w:val="007721ED"/>
  </w:style>
  <w:style w:type="character" w:customStyle="1" w:styleId="author-name">
    <w:name w:val="author-name"/>
    <w:rsid w:val="007721ED"/>
  </w:style>
  <w:style w:type="character" w:customStyle="1" w:styleId="BodyTextChar">
    <w:name w:val="Body Text Char"/>
    <w:link w:val="BodyText"/>
    <w:uiPriority w:val="1"/>
    <w:rsid w:val="007721ED"/>
    <w:rPr>
      <w:rFonts w:ascii="Times New Roman" w:eastAsia="Times New Roman" w:hAnsi="Times New Roman"/>
      <w:sz w:val="22"/>
      <w:szCs w:val="22"/>
      <w:lang w:bidi="en-US"/>
    </w:rPr>
  </w:style>
  <w:style w:type="character" w:customStyle="1" w:styleId="JudulArtikelChar">
    <w:name w:val="Judul Artikel Char"/>
    <w:link w:val="JudulArtikel"/>
    <w:rsid w:val="007721ED"/>
    <w:rPr>
      <w:rFonts w:ascii="Times New Roman" w:hAnsi="Times New Roman"/>
      <w:b/>
      <w:sz w:val="28"/>
      <w:lang w:val="en-ID" w:eastAsia="en-ID"/>
    </w:rPr>
  </w:style>
  <w:style w:type="character" w:customStyle="1" w:styleId="NamaPenulisChar">
    <w:name w:val="Nama Penulis Char"/>
    <w:link w:val="NamaPenulis"/>
    <w:rsid w:val="007721ED"/>
    <w:rPr>
      <w:rFonts w:ascii="Times New Roman" w:hAnsi="Times New Roman"/>
      <w:b/>
      <w:sz w:val="24"/>
      <w:lang w:val="en-ID" w:eastAsia="en-ID"/>
    </w:rPr>
  </w:style>
  <w:style w:type="character" w:customStyle="1" w:styleId="AbstrakIndonesiaChar">
    <w:name w:val="Abstrak (Indonesia) Char"/>
    <w:link w:val="AbstrakIndonesia"/>
    <w:rsid w:val="007721ED"/>
    <w:rPr>
      <w:rFonts w:ascii="Times New Roman" w:hAnsi="Times New Roman"/>
      <w:lang w:val="id-ID" w:eastAsia="en-ID"/>
    </w:rPr>
  </w:style>
  <w:style w:type="character" w:customStyle="1" w:styleId="KataKunciChar">
    <w:name w:val="Kata Kunci Char"/>
    <w:link w:val="KataKunci"/>
    <w:rsid w:val="007721ED"/>
  </w:style>
  <w:style w:type="character" w:customStyle="1" w:styleId="ParagrafChar">
    <w:name w:val="Paragraf Char"/>
    <w:link w:val="Paragraf"/>
    <w:rsid w:val="007721ED"/>
    <w:rPr>
      <w:rFonts w:ascii="Times New Roman" w:eastAsia="Times New Roman" w:hAnsi="Times New Roman"/>
      <w:b/>
      <w:bCs/>
      <w:color w:val="2E74B5"/>
      <w:sz w:val="24"/>
      <w:szCs w:val="32"/>
      <w:lang w:val="en-ID" w:eastAsia="en-ID"/>
    </w:rPr>
  </w:style>
  <w:style w:type="character" w:customStyle="1" w:styleId="apple-converted-space">
    <w:name w:val="apple-converted-space"/>
    <w:basedOn w:val="DefaultParagraphFont"/>
    <w:rsid w:val="007721ED"/>
  </w:style>
  <w:style w:type="character" w:styleId="Hyperlink">
    <w:name w:val="Hyperlink"/>
    <w:uiPriority w:val="99"/>
    <w:unhideWhenUsed/>
    <w:qFormat/>
    <w:rsid w:val="007721ED"/>
    <w:rPr>
      <w:color w:val="0563C1"/>
      <w:u w:val="single"/>
    </w:rPr>
  </w:style>
  <w:style w:type="character" w:styleId="FootnoteReference">
    <w:name w:val="footnote reference"/>
    <w:uiPriority w:val="99"/>
    <w:unhideWhenUsed/>
    <w:rsid w:val="007721ED"/>
    <w:rPr>
      <w:vertAlign w:val="superscript"/>
    </w:rPr>
  </w:style>
  <w:style w:type="character" w:styleId="CommentReference">
    <w:name w:val="annotation reference"/>
    <w:uiPriority w:val="99"/>
    <w:unhideWhenUsed/>
    <w:rsid w:val="007721ED"/>
    <w:rPr>
      <w:sz w:val="16"/>
      <w:szCs w:val="16"/>
    </w:rPr>
  </w:style>
  <w:style w:type="paragraph" w:customStyle="1" w:styleId="IJOPCMTitle">
    <w:name w:val="IJOPCM Title"/>
    <w:basedOn w:val="Heading1"/>
    <w:rsid w:val="007721ED"/>
    <w:pPr>
      <w:keepLines w:val="0"/>
      <w:spacing w:before="0" w:after="240" w:line="520" w:lineRule="exact"/>
      <w:jc w:val="center"/>
    </w:pPr>
    <w:rPr>
      <w:rFonts w:ascii="Times New Roman" w:eastAsia="Batang" w:hAnsi="Times New Roman" w:cs="Arial"/>
      <w:color w:val="auto"/>
      <w:kern w:val="32"/>
      <w:sz w:val="40"/>
      <w:szCs w:val="32"/>
      <w:lang w:eastAsia="ko-KR"/>
    </w:rPr>
  </w:style>
  <w:style w:type="paragraph" w:styleId="ListParagraph">
    <w:name w:val="List Paragraph"/>
    <w:aliases w:val="Heading 41,Heading 411,Heading 42,spasi 2 taiiii"/>
    <w:basedOn w:val="Normal"/>
    <w:link w:val="ListParagraphChar"/>
    <w:uiPriority w:val="34"/>
    <w:qFormat/>
    <w:rsid w:val="007721ED"/>
    <w:pPr>
      <w:spacing w:after="200" w:line="276" w:lineRule="auto"/>
      <w:ind w:left="720"/>
      <w:contextualSpacing/>
    </w:pPr>
    <w:rPr>
      <w:lang w:val="id-ID"/>
    </w:rPr>
  </w:style>
  <w:style w:type="paragraph" w:customStyle="1" w:styleId="ResumeText">
    <w:name w:val="Resume Text"/>
    <w:basedOn w:val="Normal"/>
    <w:qFormat/>
    <w:rsid w:val="007721ED"/>
    <w:pPr>
      <w:spacing w:before="40" w:after="40" w:line="288" w:lineRule="auto"/>
      <w:ind w:right="1440"/>
    </w:pPr>
    <w:rPr>
      <w:rFonts w:ascii="Calibri" w:eastAsia="Calibri" w:hAnsi="Calibri"/>
      <w:color w:val="595959"/>
      <w:kern w:val="20"/>
      <w:sz w:val="20"/>
      <w:szCs w:val="20"/>
      <w:lang w:eastAsia="ja-JP"/>
    </w:rPr>
  </w:style>
  <w:style w:type="paragraph" w:styleId="NoSpacing">
    <w:name w:val="No Spacing"/>
    <w:uiPriority w:val="1"/>
    <w:qFormat/>
    <w:rsid w:val="007721ED"/>
    <w:rPr>
      <w:sz w:val="22"/>
      <w:szCs w:val="22"/>
      <w:lang w:val="id-ID"/>
    </w:rPr>
  </w:style>
  <w:style w:type="paragraph" w:styleId="Bibliography">
    <w:name w:val="Bibliography"/>
    <w:basedOn w:val="Normal"/>
    <w:next w:val="Normal"/>
    <w:uiPriority w:val="37"/>
    <w:unhideWhenUsed/>
    <w:rsid w:val="007721ED"/>
    <w:rPr>
      <w:lang w:val="id-ID"/>
    </w:rPr>
  </w:style>
  <w:style w:type="paragraph" w:customStyle="1" w:styleId="TableParagraph">
    <w:name w:val="Table Paragraph"/>
    <w:basedOn w:val="Normal"/>
    <w:uiPriority w:val="1"/>
    <w:qFormat/>
    <w:rsid w:val="007721ED"/>
    <w:pPr>
      <w:widowControl w:val="0"/>
      <w:autoSpaceDE w:val="0"/>
      <w:autoSpaceDN w:val="0"/>
      <w:spacing w:after="0" w:line="233" w:lineRule="exact"/>
      <w:jc w:val="right"/>
    </w:pPr>
    <w:rPr>
      <w:rFonts w:eastAsia="Times New Roman"/>
      <w:lang w:bidi="en-US"/>
    </w:rPr>
  </w:style>
  <w:style w:type="paragraph" w:customStyle="1" w:styleId="JudulArtikel">
    <w:name w:val="Judul Artikel"/>
    <w:basedOn w:val="Normal"/>
    <w:link w:val="JudulArtikelChar"/>
    <w:qFormat/>
    <w:rsid w:val="007721ED"/>
    <w:pPr>
      <w:spacing w:line="240" w:lineRule="auto"/>
      <w:jc w:val="center"/>
    </w:pPr>
    <w:rPr>
      <w:b/>
      <w:sz w:val="28"/>
      <w:szCs w:val="20"/>
      <w:lang w:val="en-ID" w:eastAsia="en-ID"/>
    </w:rPr>
  </w:style>
  <w:style w:type="paragraph" w:customStyle="1" w:styleId="NamaPenulis">
    <w:name w:val="Nama Penulis"/>
    <w:basedOn w:val="JudulArtikel"/>
    <w:link w:val="NamaPenulisChar"/>
    <w:qFormat/>
    <w:rsid w:val="007721ED"/>
    <w:pPr>
      <w:spacing w:after="0"/>
    </w:pPr>
    <w:rPr>
      <w:sz w:val="24"/>
    </w:rPr>
  </w:style>
  <w:style w:type="paragraph" w:customStyle="1" w:styleId="AbstrakIndonesia">
    <w:name w:val="Abstrak (Indonesia)"/>
    <w:basedOn w:val="Normal"/>
    <w:link w:val="AbstrakIndonesiaChar"/>
    <w:qFormat/>
    <w:rsid w:val="007721ED"/>
    <w:pPr>
      <w:spacing w:line="240" w:lineRule="auto"/>
      <w:ind w:left="1134" w:right="1134"/>
      <w:jc w:val="both"/>
    </w:pPr>
    <w:rPr>
      <w:sz w:val="20"/>
      <w:szCs w:val="20"/>
      <w:lang w:val="id-ID" w:eastAsia="en-ID"/>
    </w:rPr>
  </w:style>
  <w:style w:type="paragraph" w:customStyle="1" w:styleId="KataKunci">
    <w:name w:val="Kata Kunci"/>
    <w:basedOn w:val="AbstrakIndonesia"/>
    <w:link w:val="KataKunciChar"/>
    <w:qFormat/>
    <w:rsid w:val="007721ED"/>
    <w:pPr>
      <w:spacing w:before="120" w:after="240" w:line="480" w:lineRule="auto"/>
    </w:pPr>
  </w:style>
  <w:style w:type="paragraph" w:customStyle="1" w:styleId="Paragraf">
    <w:name w:val="Paragraf"/>
    <w:basedOn w:val="Heading1"/>
    <w:link w:val="ParagrafChar"/>
    <w:qFormat/>
    <w:rsid w:val="007721ED"/>
    <w:pPr>
      <w:keepNext w:val="0"/>
      <w:keepLines w:val="0"/>
      <w:widowControl w:val="0"/>
      <w:spacing w:before="120" w:after="120" w:line="480" w:lineRule="auto"/>
      <w:ind w:firstLine="567"/>
      <w:jc w:val="both"/>
    </w:pPr>
    <w:rPr>
      <w:rFonts w:ascii="Times New Roman" w:hAnsi="Times New Roman"/>
      <w:sz w:val="24"/>
      <w:szCs w:val="32"/>
      <w:lang w:val="en-ID" w:eastAsia="en-ID"/>
    </w:rPr>
  </w:style>
  <w:style w:type="paragraph" w:customStyle="1" w:styleId="Default">
    <w:name w:val="Default"/>
    <w:rsid w:val="007721ED"/>
    <w:pPr>
      <w:autoSpaceDE w:val="0"/>
      <w:autoSpaceDN w:val="0"/>
      <w:adjustRightInd w:val="0"/>
    </w:pPr>
    <w:rPr>
      <w:rFonts w:ascii="Bookman Old Style" w:eastAsia="Times New Roman" w:hAnsi="Bookman Old Style" w:cs="Bookman Old Style"/>
      <w:color w:val="000000"/>
      <w:sz w:val="24"/>
      <w:szCs w:val="24"/>
    </w:rPr>
  </w:style>
  <w:style w:type="paragraph" w:customStyle="1" w:styleId="ListParagraph1">
    <w:name w:val="List Paragraph1"/>
    <w:basedOn w:val="Normal"/>
    <w:uiPriority w:val="34"/>
    <w:qFormat/>
    <w:rsid w:val="007721ED"/>
    <w:pPr>
      <w:spacing w:after="200" w:line="276" w:lineRule="auto"/>
      <w:ind w:left="720"/>
      <w:contextualSpacing/>
    </w:pPr>
    <w:rPr>
      <w:rFonts w:eastAsia="Times New Roman"/>
      <w:lang w:val="id-ID"/>
    </w:rPr>
  </w:style>
  <w:style w:type="paragraph" w:styleId="NormalWeb">
    <w:name w:val="Normal (Web)"/>
    <w:basedOn w:val="Normal"/>
    <w:uiPriority w:val="99"/>
    <w:unhideWhenUsed/>
    <w:rsid w:val="007721ED"/>
    <w:pPr>
      <w:spacing w:before="100" w:beforeAutospacing="1" w:after="100" w:afterAutospacing="1" w:line="240" w:lineRule="auto"/>
    </w:pPr>
    <w:rPr>
      <w:rFonts w:eastAsia="Times New Roman"/>
      <w:sz w:val="24"/>
      <w:szCs w:val="24"/>
    </w:rPr>
  </w:style>
  <w:style w:type="paragraph" w:styleId="List">
    <w:name w:val="List"/>
    <w:basedOn w:val="Normal"/>
    <w:uiPriority w:val="99"/>
    <w:unhideWhenUsed/>
    <w:rsid w:val="007721ED"/>
    <w:pPr>
      <w:spacing w:before="100" w:beforeAutospacing="1" w:after="100" w:afterAutospacing="1" w:line="240" w:lineRule="auto"/>
    </w:pPr>
    <w:rPr>
      <w:rFonts w:eastAsia="Times New Roman"/>
      <w:sz w:val="24"/>
      <w:szCs w:val="24"/>
      <w:lang w:val="id-ID" w:eastAsia="id-ID"/>
    </w:rPr>
  </w:style>
  <w:style w:type="paragraph" w:styleId="HTMLPreformatted">
    <w:name w:val="HTML Preformatted"/>
    <w:basedOn w:val="Normal"/>
    <w:link w:val="HTMLPreformattedChar"/>
    <w:uiPriority w:val="99"/>
    <w:unhideWhenUsed/>
    <w:rsid w:val="00772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paragraph" w:styleId="Header">
    <w:name w:val="header"/>
    <w:basedOn w:val="Normal"/>
    <w:link w:val="HeaderChar"/>
    <w:uiPriority w:val="99"/>
    <w:unhideWhenUsed/>
    <w:rsid w:val="007721ED"/>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7721ED"/>
    <w:pPr>
      <w:spacing w:after="0" w:line="240" w:lineRule="auto"/>
    </w:pPr>
    <w:rPr>
      <w:sz w:val="20"/>
      <w:szCs w:val="20"/>
    </w:rPr>
  </w:style>
  <w:style w:type="paragraph" w:styleId="Footer">
    <w:name w:val="footer"/>
    <w:basedOn w:val="Normal"/>
    <w:link w:val="FooterChar"/>
    <w:uiPriority w:val="99"/>
    <w:unhideWhenUsed/>
    <w:rsid w:val="007721ED"/>
    <w:pPr>
      <w:tabs>
        <w:tab w:val="center" w:pos="4680"/>
        <w:tab w:val="right" w:pos="9360"/>
      </w:tabs>
      <w:spacing w:after="0" w:line="240" w:lineRule="auto"/>
    </w:pPr>
  </w:style>
  <w:style w:type="paragraph" w:styleId="BalloonText">
    <w:name w:val="Balloon Text"/>
    <w:basedOn w:val="Normal"/>
    <w:link w:val="BalloonTextChar"/>
    <w:uiPriority w:val="99"/>
    <w:unhideWhenUsed/>
    <w:rsid w:val="007721ED"/>
    <w:pPr>
      <w:spacing w:after="0" w:line="240" w:lineRule="auto"/>
    </w:pPr>
    <w:rPr>
      <w:rFonts w:ascii="Tahoma" w:hAnsi="Tahoma"/>
      <w:sz w:val="16"/>
      <w:szCs w:val="16"/>
    </w:rPr>
  </w:style>
  <w:style w:type="paragraph" w:styleId="BodyText">
    <w:name w:val="Body Text"/>
    <w:basedOn w:val="Normal"/>
    <w:link w:val="BodyTextChar"/>
    <w:uiPriority w:val="1"/>
    <w:qFormat/>
    <w:rsid w:val="007721ED"/>
    <w:pPr>
      <w:widowControl w:val="0"/>
      <w:autoSpaceDE w:val="0"/>
      <w:autoSpaceDN w:val="0"/>
      <w:spacing w:after="0" w:line="240" w:lineRule="auto"/>
    </w:pPr>
    <w:rPr>
      <w:rFonts w:eastAsia="Times New Roman"/>
      <w:lang w:bidi="en-US"/>
    </w:rPr>
  </w:style>
  <w:style w:type="paragraph" w:styleId="Caption">
    <w:name w:val="caption"/>
    <w:basedOn w:val="Normal"/>
    <w:next w:val="Normal"/>
    <w:link w:val="CaptionChar"/>
    <w:qFormat/>
    <w:rsid w:val="007721ED"/>
    <w:pPr>
      <w:spacing w:before="60" w:after="200" w:line="240" w:lineRule="auto"/>
      <w:ind w:left="567" w:hanging="567"/>
    </w:pPr>
    <w:rPr>
      <w:rFonts w:eastAsia="Times New Roman"/>
      <w:bCs/>
      <w:sz w:val="24"/>
      <w:szCs w:val="18"/>
      <w:lang w:eastAsia="ja-JP"/>
    </w:rPr>
  </w:style>
  <w:style w:type="paragraph" w:styleId="CommentText">
    <w:name w:val="annotation text"/>
    <w:basedOn w:val="Normal"/>
    <w:link w:val="CommentTextChar"/>
    <w:uiPriority w:val="99"/>
    <w:unhideWhenUsed/>
    <w:rsid w:val="007721ED"/>
    <w:pPr>
      <w:spacing w:line="240" w:lineRule="auto"/>
    </w:pPr>
    <w:rPr>
      <w:sz w:val="20"/>
      <w:szCs w:val="20"/>
    </w:rPr>
  </w:style>
  <w:style w:type="paragraph" w:styleId="CommentSubject">
    <w:name w:val="annotation subject"/>
    <w:basedOn w:val="CommentText"/>
    <w:next w:val="CommentText"/>
    <w:link w:val="CommentSubjectChar"/>
    <w:uiPriority w:val="99"/>
    <w:unhideWhenUsed/>
    <w:rsid w:val="007721ED"/>
    <w:rPr>
      <w:b/>
      <w:bCs/>
    </w:rPr>
  </w:style>
  <w:style w:type="table" w:styleId="TableGrid">
    <w:name w:val="Table Grid"/>
    <w:basedOn w:val="TableNormal"/>
    <w:uiPriority w:val="59"/>
    <w:rsid w:val="007721ED"/>
    <w:rPr>
      <w:rFonts w:eastAsia="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semiHidden/>
    <w:unhideWhenUsed/>
    <w:rsid w:val="00F921C1"/>
    <w:rPr>
      <w:color w:val="605E5C"/>
      <w:shd w:val="clear" w:color="auto" w:fill="E1DFDD"/>
    </w:rPr>
  </w:style>
  <w:style w:type="character" w:styleId="FollowedHyperlink">
    <w:name w:val="FollowedHyperlink"/>
    <w:uiPriority w:val="99"/>
    <w:semiHidden/>
    <w:unhideWhenUsed/>
    <w:rsid w:val="00F921C1"/>
    <w:rPr>
      <w:color w:val="954F72"/>
      <w:u w:val="single"/>
    </w:rPr>
  </w:style>
  <w:style w:type="character" w:customStyle="1" w:styleId="Heading4Char">
    <w:name w:val="Heading 4 Char"/>
    <w:basedOn w:val="DefaultParagraphFont"/>
    <w:link w:val="Heading4"/>
    <w:uiPriority w:val="9"/>
    <w:semiHidden/>
    <w:rsid w:val="00345D67"/>
    <w:rPr>
      <w:rFonts w:ascii="Cambria" w:eastAsia="Times New Roman" w:hAnsi="Cambria"/>
      <w:i/>
      <w:iCs/>
      <w:color w:val="31849B"/>
      <w:sz w:val="25"/>
      <w:szCs w:val="25"/>
      <w:lang w:val="en-US" w:eastAsia="en-US"/>
    </w:rPr>
  </w:style>
  <w:style w:type="character" w:customStyle="1" w:styleId="Heading5Char">
    <w:name w:val="Heading 5 Char"/>
    <w:basedOn w:val="DefaultParagraphFont"/>
    <w:link w:val="Heading5"/>
    <w:uiPriority w:val="9"/>
    <w:semiHidden/>
    <w:rsid w:val="00345D67"/>
    <w:rPr>
      <w:rFonts w:ascii="Cambria" w:eastAsia="Times New Roman" w:hAnsi="Cambria"/>
      <w:i/>
      <w:iCs/>
      <w:color w:val="632423"/>
      <w:sz w:val="24"/>
      <w:szCs w:val="24"/>
      <w:lang w:val="en-US" w:eastAsia="en-US"/>
    </w:rPr>
  </w:style>
  <w:style w:type="character" w:customStyle="1" w:styleId="Heading6Char">
    <w:name w:val="Heading 6 Char"/>
    <w:basedOn w:val="DefaultParagraphFont"/>
    <w:link w:val="Heading6"/>
    <w:uiPriority w:val="9"/>
    <w:semiHidden/>
    <w:rsid w:val="00345D67"/>
    <w:rPr>
      <w:rFonts w:ascii="Cambria" w:eastAsia="Times New Roman" w:hAnsi="Cambria"/>
      <w:i/>
      <w:iCs/>
      <w:color w:val="984806"/>
      <w:sz w:val="23"/>
      <w:szCs w:val="23"/>
      <w:lang w:val="en-US" w:eastAsia="en-US"/>
    </w:rPr>
  </w:style>
  <w:style w:type="character" w:customStyle="1" w:styleId="Heading7Char">
    <w:name w:val="Heading 7 Char"/>
    <w:basedOn w:val="DefaultParagraphFont"/>
    <w:link w:val="Heading7"/>
    <w:uiPriority w:val="9"/>
    <w:semiHidden/>
    <w:rsid w:val="00345D67"/>
    <w:rPr>
      <w:rFonts w:ascii="Cambria" w:eastAsia="Times New Roman" w:hAnsi="Cambria"/>
      <w:color w:val="244061"/>
      <w:sz w:val="22"/>
      <w:szCs w:val="22"/>
      <w:lang w:val="en-US" w:eastAsia="en-US"/>
    </w:rPr>
  </w:style>
  <w:style w:type="character" w:customStyle="1" w:styleId="Heading8Char">
    <w:name w:val="Heading 8 Char"/>
    <w:basedOn w:val="DefaultParagraphFont"/>
    <w:link w:val="Heading8"/>
    <w:uiPriority w:val="9"/>
    <w:semiHidden/>
    <w:rsid w:val="00345D67"/>
    <w:rPr>
      <w:rFonts w:ascii="Cambria" w:eastAsia="Times New Roman" w:hAnsi="Cambria"/>
      <w:color w:val="632423"/>
      <w:sz w:val="21"/>
      <w:szCs w:val="21"/>
      <w:lang w:val="en-US" w:eastAsia="en-US"/>
    </w:rPr>
  </w:style>
  <w:style w:type="character" w:customStyle="1" w:styleId="Heading9Char">
    <w:name w:val="Heading 9 Char"/>
    <w:basedOn w:val="DefaultParagraphFont"/>
    <w:link w:val="Heading9"/>
    <w:uiPriority w:val="9"/>
    <w:semiHidden/>
    <w:rsid w:val="00345D67"/>
    <w:rPr>
      <w:rFonts w:ascii="Cambria" w:eastAsia="Times New Roman" w:hAnsi="Cambria"/>
      <w:color w:val="984806"/>
      <w:sz w:val="22"/>
      <w:szCs w:val="22"/>
      <w:lang w:val="en-US" w:eastAsia="en-US"/>
    </w:rPr>
  </w:style>
  <w:style w:type="paragraph" w:styleId="Title">
    <w:name w:val="Title"/>
    <w:basedOn w:val="Normal"/>
    <w:next w:val="Normal"/>
    <w:link w:val="TitleChar"/>
    <w:uiPriority w:val="10"/>
    <w:qFormat/>
    <w:rsid w:val="00345D67"/>
    <w:pPr>
      <w:spacing w:after="0" w:line="240" w:lineRule="auto"/>
      <w:contextualSpacing/>
    </w:pPr>
    <w:rPr>
      <w:rFonts w:ascii="Cambria" w:eastAsia="Times New Roman" w:hAnsi="Cambria"/>
      <w:color w:val="365F91"/>
      <w:spacing w:val="-10"/>
      <w:sz w:val="52"/>
      <w:szCs w:val="52"/>
    </w:rPr>
  </w:style>
  <w:style w:type="character" w:customStyle="1" w:styleId="TitleChar">
    <w:name w:val="Title Char"/>
    <w:basedOn w:val="DefaultParagraphFont"/>
    <w:link w:val="Title"/>
    <w:uiPriority w:val="10"/>
    <w:rsid w:val="00345D67"/>
    <w:rPr>
      <w:rFonts w:ascii="Cambria" w:eastAsia="Times New Roman" w:hAnsi="Cambria"/>
      <w:color w:val="365F91"/>
      <w:spacing w:val="-10"/>
      <w:sz w:val="52"/>
      <w:szCs w:val="52"/>
      <w:lang w:val="en-US" w:eastAsia="en-US"/>
    </w:rPr>
  </w:style>
  <w:style w:type="paragraph" w:styleId="Subtitle">
    <w:name w:val="Subtitle"/>
    <w:basedOn w:val="Normal"/>
    <w:next w:val="Normal"/>
    <w:link w:val="SubtitleChar"/>
    <w:uiPriority w:val="11"/>
    <w:qFormat/>
    <w:rsid w:val="00345D67"/>
    <w:pPr>
      <w:numPr>
        <w:ilvl w:val="1"/>
      </w:numPr>
      <w:spacing w:line="240" w:lineRule="auto"/>
    </w:pPr>
    <w:rPr>
      <w:rFonts w:ascii="Cambria" w:eastAsia="Times New Roman" w:hAnsi="Cambria"/>
    </w:rPr>
  </w:style>
  <w:style w:type="character" w:customStyle="1" w:styleId="SubtitleChar">
    <w:name w:val="Subtitle Char"/>
    <w:basedOn w:val="DefaultParagraphFont"/>
    <w:link w:val="Subtitle"/>
    <w:uiPriority w:val="11"/>
    <w:rsid w:val="00345D67"/>
    <w:rPr>
      <w:rFonts w:ascii="Cambria" w:eastAsia="Times New Roman" w:hAnsi="Cambria"/>
      <w:sz w:val="22"/>
      <w:szCs w:val="22"/>
      <w:lang w:val="en-US" w:eastAsia="en-US"/>
    </w:rPr>
  </w:style>
  <w:style w:type="character" w:styleId="Strong">
    <w:name w:val="Strong"/>
    <w:uiPriority w:val="22"/>
    <w:qFormat/>
    <w:rsid w:val="00345D67"/>
    <w:rPr>
      <w:b/>
      <w:bCs/>
    </w:rPr>
  </w:style>
  <w:style w:type="character" w:styleId="Emphasis">
    <w:name w:val="Emphasis"/>
    <w:uiPriority w:val="20"/>
    <w:qFormat/>
    <w:rsid w:val="00345D67"/>
    <w:rPr>
      <w:i/>
      <w:iCs/>
    </w:rPr>
  </w:style>
  <w:style w:type="paragraph" w:styleId="Quote">
    <w:name w:val="Quote"/>
    <w:basedOn w:val="Normal"/>
    <w:next w:val="Normal"/>
    <w:link w:val="QuoteChar"/>
    <w:uiPriority w:val="29"/>
    <w:qFormat/>
    <w:rsid w:val="00345D67"/>
    <w:pPr>
      <w:spacing w:before="120"/>
      <w:ind w:left="720" w:right="720"/>
      <w:jc w:val="center"/>
    </w:pPr>
    <w:rPr>
      <w:rFonts w:ascii="Calibri" w:eastAsia="Times New Roman" w:hAnsi="Calibri"/>
      <w:i/>
      <w:iCs/>
    </w:rPr>
  </w:style>
  <w:style w:type="character" w:customStyle="1" w:styleId="QuoteChar">
    <w:name w:val="Quote Char"/>
    <w:basedOn w:val="DefaultParagraphFont"/>
    <w:link w:val="Quote"/>
    <w:uiPriority w:val="29"/>
    <w:rsid w:val="00345D67"/>
    <w:rPr>
      <w:rFonts w:ascii="Calibri" w:eastAsia="Times New Roman" w:hAnsi="Calibri"/>
      <w:i/>
      <w:iCs/>
      <w:sz w:val="22"/>
      <w:szCs w:val="22"/>
      <w:lang w:val="en-US" w:eastAsia="en-US"/>
    </w:rPr>
  </w:style>
  <w:style w:type="paragraph" w:styleId="IntenseQuote">
    <w:name w:val="Intense Quote"/>
    <w:basedOn w:val="Normal"/>
    <w:next w:val="Normal"/>
    <w:link w:val="IntenseQuoteChar"/>
    <w:uiPriority w:val="30"/>
    <w:qFormat/>
    <w:rsid w:val="00345D67"/>
    <w:pPr>
      <w:spacing w:before="120" w:line="300" w:lineRule="auto"/>
      <w:ind w:left="576" w:right="576"/>
      <w:jc w:val="center"/>
    </w:pPr>
    <w:rPr>
      <w:rFonts w:ascii="Cambria" w:eastAsia="Times New Roman" w:hAnsi="Cambria"/>
      <w:color w:val="4F81BD"/>
      <w:sz w:val="24"/>
      <w:szCs w:val="24"/>
    </w:rPr>
  </w:style>
  <w:style w:type="character" w:customStyle="1" w:styleId="IntenseQuoteChar">
    <w:name w:val="Intense Quote Char"/>
    <w:basedOn w:val="DefaultParagraphFont"/>
    <w:link w:val="IntenseQuote"/>
    <w:uiPriority w:val="30"/>
    <w:rsid w:val="00345D67"/>
    <w:rPr>
      <w:rFonts w:ascii="Cambria" w:eastAsia="Times New Roman" w:hAnsi="Cambria"/>
      <w:color w:val="4F81BD"/>
      <w:sz w:val="24"/>
      <w:szCs w:val="24"/>
      <w:lang w:val="en-US" w:eastAsia="en-US"/>
    </w:rPr>
  </w:style>
  <w:style w:type="character" w:styleId="SubtleEmphasis">
    <w:name w:val="Subtle Emphasis"/>
    <w:uiPriority w:val="19"/>
    <w:qFormat/>
    <w:rsid w:val="00345D67"/>
    <w:rPr>
      <w:i/>
      <w:iCs/>
      <w:color w:val="404040"/>
    </w:rPr>
  </w:style>
  <w:style w:type="character" w:styleId="IntenseEmphasis">
    <w:name w:val="Intense Emphasis"/>
    <w:uiPriority w:val="21"/>
    <w:qFormat/>
    <w:rsid w:val="00345D67"/>
    <w:rPr>
      <w:b w:val="0"/>
      <w:bCs w:val="0"/>
      <w:i/>
      <w:iCs/>
      <w:color w:val="4F81BD"/>
    </w:rPr>
  </w:style>
  <w:style w:type="character" w:styleId="SubtleReference">
    <w:name w:val="Subtle Reference"/>
    <w:uiPriority w:val="31"/>
    <w:qFormat/>
    <w:rsid w:val="00345D67"/>
    <w:rPr>
      <w:smallCaps/>
      <w:color w:val="404040"/>
      <w:u w:val="single" w:color="7F7F7F"/>
    </w:rPr>
  </w:style>
  <w:style w:type="character" w:styleId="IntenseReference">
    <w:name w:val="Intense Reference"/>
    <w:uiPriority w:val="32"/>
    <w:qFormat/>
    <w:rsid w:val="00345D67"/>
    <w:rPr>
      <w:b/>
      <w:bCs/>
      <w:smallCaps/>
      <w:color w:val="4F81BD"/>
      <w:spacing w:val="5"/>
      <w:u w:val="single"/>
    </w:rPr>
  </w:style>
  <w:style w:type="character" w:styleId="BookTitle">
    <w:name w:val="Book Title"/>
    <w:uiPriority w:val="33"/>
    <w:qFormat/>
    <w:rsid w:val="00345D67"/>
    <w:rPr>
      <w:b/>
      <w:bCs/>
      <w:smallCaps/>
    </w:rPr>
  </w:style>
  <w:style w:type="paragraph" w:styleId="TOCHeading">
    <w:name w:val="TOC Heading"/>
    <w:basedOn w:val="Heading1"/>
    <w:next w:val="Normal"/>
    <w:uiPriority w:val="39"/>
    <w:semiHidden/>
    <w:unhideWhenUsed/>
    <w:qFormat/>
    <w:rsid w:val="00345D67"/>
    <w:pPr>
      <w:spacing w:before="320" w:line="240" w:lineRule="auto"/>
      <w:outlineLvl w:val="9"/>
    </w:pPr>
    <w:rPr>
      <w:rFonts w:ascii="Cambria" w:hAnsi="Cambria"/>
      <w:b w:val="0"/>
      <w:bCs w:val="0"/>
      <w:color w:val="365F91"/>
      <w:sz w:val="30"/>
      <w:szCs w:val="30"/>
    </w:rPr>
  </w:style>
  <w:style w:type="character" w:customStyle="1" w:styleId="fontstyle01">
    <w:name w:val="fontstyle01"/>
    <w:rsid w:val="005E52BA"/>
    <w:rPr>
      <w:rFonts w:ascii="TimesNewRomanPSMT" w:hAnsi="TimesNewRomanPSMT" w:hint="default"/>
      <w:b w:val="0"/>
      <w:bCs w:val="0"/>
      <w:i w:val="0"/>
      <w:iCs w:val="0"/>
      <w:color w:val="242021"/>
      <w:sz w:val="28"/>
      <w:szCs w:val="28"/>
    </w:rPr>
  </w:style>
  <w:style w:type="character" w:customStyle="1" w:styleId="ls5">
    <w:name w:val="ls5"/>
    <w:rsid w:val="009644B9"/>
    <w:rPr>
      <w:rFonts w:cs="Times New Roman"/>
      <w:rtl w:val="0"/>
      <w:cs w:val="0"/>
    </w:rPr>
  </w:style>
  <w:style w:type="character" w:styleId="PlaceholderText">
    <w:name w:val="Placeholder Text"/>
    <w:basedOn w:val="DefaultParagraphFont"/>
    <w:uiPriority w:val="99"/>
    <w:unhideWhenUsed/>
    <w:rsid w:val="00DC6F8D"/>
    <w:rPr>
      <w:color w:val="808080"/>
    </w:rPr>
  </w:style>
  <w:style w:type="character" w:customStyle="1" w:styleId="y2iqfc">
    <w:name w:val="y2iqfc"/>
    <w:basedOn w:val="DefaultParagraphFont"/>
    <w:rsid w:val="00962B8C"/>
  </w:style>
  <w:style w:type="character" w:customStyle="1" w:styleId="UnresolvedMention2">
    <w:name w:val="Unresolved Mention2"/>
    <w:basedOn w:val="DefaultParagraphFont"/>
    <w:uiPriority w:val="99"/>
    <w:semiHidden/>
    <w:unhideWhenUsed/>
    <w:rsid w:val="00971440"/>
    <w:rPr>
      <w:color w:val="605E5C"/>
      <w:shd w:val="clear" w:color="auto" w:fill="E1DFDD"/>
    </w:rPr>
  </w:style>
  <w:style w:type="table" w:customStyle="1" w:styleId="PlainTable51">
    <w:name w:val="Plain Table 51"/>
    <w:basedOn w:val="TableNormal"/>
    <w:uiPriority w:val="45"/>
    <w:rsid w:val="0082734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51">
    <w:name w:val="Grid Table 4 - Accent 51"/>
    <w:basedOn w:val="TableNormal"/>
    <w:uiPriority w:val="49"/>
    <w:rsid w:val="0082734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31">
    <w:name w:val="Grid Table 5 Dark - Accent 31"/>
    <w:basedOn w:val="TableNormal"/>
    <w:uiPriority w:val="50"/>
    <w:rsid w:val="008273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2-Accent31">
    <w:name w:val="Grid Table 2 - Accent 31"/>
    <w:basedOn w:val="TableNormal"/>
    <w:uiPriority w:val="47"/>
    <w:rsid w:val="008273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
    <w:name w:val="Grid Table 4 - Accent 31"/>
    <w:basedOn w:val="TableNormal"/>
    <w:uiPriority w:val="49"/>
    <w:rsid w:val="0082734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1">
    <w:name w:val="Plain Table 21"/>
    <w:basedOn w:val="TableNormal"/>
    <w:uiPriority w:val="42"/>
    <w:rsid w:val="001E4B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31">
    <w:name w:val="Grid Table 3 - Accent 31"/>
    <w:basedOn w:val="TableNormal"/>
    <w:uiPriority w:val="48"/>
    <w:rsid w:val="001E4B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customStyle="1" w:styleId="UnresolvedMention3">
    <w:name w:val="Unresolved Mention3"/>
    <w:basedOn w:val="DefaultParagraphFont"/>
    <w:uiPriority w:val="99"/>
    <w:semiHidden/>
    <w:unhideWhenUsed/>
    <w:rsid w:val="0006485B"/>
    <w:rPr>
      <w:color w:val="605E5C"/>
      <w:shd w:val="clear" w:color="auto" w:fill="E1DFDD"/>
    </w:rPr>
  </w:style>
  <w:style w:type="table" w:customStyle="1" w:styleId="GridTable1Light">
    <w:name w:val="Grid Table 1 Light"/>
    <w:basedOn w:val="TableNormal"/>
    <w:uiPriority w:val="46"/>
    <w:rsid w:val="00E432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
    <w:name w:val="Plain Table 3"/>
    <w:basedOn w:val="TableNormal"/>
    <w:uiPriority w:val="43"/>
    <w:rsid w:val="00E4325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basedOn w:val="DefaultParagraphFont"/>
    <w:uiPriority w:val="99"/>
    <w:semiHidden/>
    <w:unhideWhenUsed/>
    <w:rsid w:val="00B00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619">
      <w:marLeft w:val="480"/>
      <w:marRight w:val="0"/>
      <w:marTop w:val="0"/>
      <w:marBottom w:val="0"/>
      <w:divBdr>
        <w:top w:val="none" w:sz="0" w:space="0" w:color="auto"/>
        <w:left w:val="none" w:sz="0" w:space="0" w:color="auto"/>
        <w:bottom w:val="none" w:sz="0" w:space="0" w:color="auto"/>
        <w:right w:val="none" w:sz="0" w:space="0" w:color="auto"/>
      </w:divBdr>
    </w:div>
    <w:div w:id="59521447">
      <w:marLeft w:val="480"/>
      <w:marRight w:val="0"/>
      <w:marTop w:val="0"/>
      <w:marBottom w:val="0"/>
      <w:divBdr>
        <w:top w:val="none" w:sz="0" w:space="0" w:color="auto"/>
        <w:left w:val="none" w:sz="0" w:space="0" w:color="auto"/>
        <w:bottom w:val="none" w:sz="0" w:space="0" w:color="auto"/>
        <w:right w:val="none" w:sz="0" w:space="0" w:color="auto"/>
      </w:divBdr>
    </w:div>
    <w:div w:id="65538386">
      <w:marLeft w:val="480"/>
      <w:marRight w:val="0"/>
      <w:marTop w:val="0"/>
      <w:marBottom w:val="0"/>
      <w:divBdr>
        <w:top w:val="none" w:sz="0" w:space="0" w:color="auto"/>
        <w:left w:val="none" w:sz="0" w:space="0" w:color="auto"/>
        <w:bottom w:val="none" w:sz="0" w:space="0" w:color="auto"/>
        <w:right w:val="none" w:sz="0" w:space="0" w:color="auto"/>
      </w:divBdr>
    </w:div>
    <w:div w:id="112286326">
      <w:marLeft w:val="480"/>
      <w:marRight w:val="0"/>
      <w:marTop w:val="0"/>
      <w:marBottom w:val="0"/>
      <w:divBdr>
        <w:top w:val="none" w:sz="0" w:space="0" w:color="auto"/>
        <w:left w:val="none" w:sz="0" w:space="0" w:color="auto"/>
        <w:bottom w:val="none" w:sz="0" w:space="0" w:color="auto"/>
        <w:right w:val="none" w:sz="0" w:space="0" w:color="auto"/>
      </w:divBdr>
    </w:div>
    <w:div w:id="131947403">
      <w:marLeft w:val="480"/>
      <w:marRight w:val="0"/>
      <w:marTop w:val="0"/>
      <w:marBottom w:val="0"/>
      <w:divBdr>
        <w:top w:val="none" w:sz="0" w:space="0" w:color="auto"/>
        <w:left w:val="none" w:sz="0" w:space="0" w:color="auto"/>
        <w:bottom w:val="none" w:sz="0" w:space="0" w:color="auto"/>
        <w:right w:val="none" w:sz="0" w:space="0" w:color="auto"/>
      </w:divBdr>
    </w:div>
    <w:div w:id="202442803">
      <w:marLeft w:val="480"/>
      <w:marRight w:val="0"/>
      <w:marTop w:val="0"/>
      <w:marBottom w:val="0"/>
      <w:divBdr>
        <w:top w:val="none" w:sz="0" w:space="0" w:color="auto"/>
        <w:left w:val="none" w:sz="0" w:space="0" w:color="auto"/>
        <w:bottom w:val="none" w:sz="0" w:space="0" w:color="auto"/>
        <w:right w:val="none" w:sz="0" w:space="0" w:color="auto"/>
      </w:divBdr>
    </w:div>
    <w:div w:id="215121908">
      <w:marLeft w:val="480"/>
      <w:marRight w:val="0"/>
      <w:marTop w:val="0"/>
      <w:marBottom w:val="0"/>
      <w:divBdr>
        <w:top w:val="none" w:sz="0" w:space="0" w:color="auto"/>
        <w:left w:val="none" w:sz="0" w:space="0" w:color="auto"/>
        <w:bottom w:val="none" w:sz="0" w:space="0" w:color="auto"/>
        <w:right w:val="none" w:sz="0" w:space="0" w:color="auto"/>
      </w:divBdr>
    </w:div>
    <w:div w:id="231046696">
      <w:marLeft w:val="480"/>
      <w:marRight w:val="0"/>
      <w:marTop w:val="0"/>
      <w:marBottom w:val="0"/>
      <w:divBdr>
        <w:top w:val="none" w:sz="0" w:space="0" w:color="auto"/>
        <w:left w:val="none" w:sz="0" w:space="0" w:color="auto"/>
        <w:bottom w:val="none" w:sz="0" w:space="0" w:color="auto"/>
        <w:right w:val="none" w:sz="0" w:space="0" w:color="auto"/>
      </w:divBdr>
    </w:div>
    <w:div w:id="268973332">
      <w:marLeft w:val="480"/>
      <w:marRight w:val="0"/>
      <w:marTop w:val="0"/>
      <w:marBottom w:val="0"/>
      <w:divBdr>
        <w:top w:val="none" w:sz="0" w:space="0" w:color="auto"/>
        <w:left w:val="none" w:sz="0" w:space="0" w:color="auto"/>
        <w:bottom w:val="none" w:sz="0" w:space="0" w:color="auto"/>
        <w:right w:val="none" w:sz="0" w:space="0" w:color="auto"/>
      </w:divBdr>
    </w:div>
    <w:div w:id="296035023">
      <w:marLeft w:val="480"/>
      <w:marRight w:val="0"/>
      <w:marTop w:val="0"/>
      <w:marBottom w:val="0"/>
      <w:divBdr>
        <w:top w:val="none" w:sz="0" w:space="0" w:color="auto"/>
        <w:left w:val="none" w:sz="0" w:space="0" w:color="auto"/>
        <w:bottom w:val="none" w:sz="0" w:space="0" w:color="auto"/>
        <w:right w:val="none" w:sz="0" w:space="0" w:color="auto"/>
      </w:divBdr>
    </w:div>
    <w:div w:id="309948416">
      <w:marLeft w:val="480"/>
      <w:marRight w:val="0"/>
      <w:marTop w:val="0"/>
      <w:marBottom w:val="0"/>
      <w:divBdr>
        <w:top w:val="none" w:sz="0" w:space="0" w:color="auto"/>
        <w:left w:val="none" w:sz="0" w:space="0" w:color="auto"/>
        <w:bottom w:val="none" w:sz="0" w:space="0" w:color="auto"/>
        <w:right w:val="none" w:sz="0" w:space="0" w:color="auto"/>
      </w:divBdr>
    </w:div>
    <w:div w:id="324742482">
      <w:marLeft w:val="480"/>
      <w:marRight w:val="0"/>
      <w:marTop w:val="0"/>
      <w:marBottom w:val="0"/>
      <w:divBdr>
        <w:top w:val="none" w:sz="0" w:space="0" w:color="auto"/>
        <w:left w:val="none" w:sz="0" w:space="0" w:color="auto"/>
        <w:bottom w:val="none" w:sz="0" w:space="0" w:color="auto"/>
        <w:right w:val="none" w:sz="0" w:space="0" w:color="auto"/>
      </w:divBdr>
    </w:div>
    <w:div w:id="329479933">
      <w:marLeft w:val="480"/>
      <w:marRight w:val="0"/>
      <w:marTop w:val="0"/>
      <w:marBottom w:val="0"/>
      <w:divBdr>
        <w:top w:val="none" w:sz="0" w:space="0" w:color="auto"/>
        <w:left w:val="none" w:sz="0" w:space="0" w:color="auto"/>
        <w:bottom w:val="none" w:sz="0" w:space="0" w:color="auto"/>
        <w:right w:val="none" w:sz="0" w:space="0" w:color="auto"/>
      </w:divBdr>
    </w:div>
    <w:div w:id="377315013">
      <w:marLeft w:val="480"/>
      <w:marRight w:val="0"/>
      <w:marTop w:val="0"/>
      <w:marBottom w:val="0"/>
      <w:divBdr>
        <w:top w:val="none" w:sz="0" w:space="0" w:color="auto"/>
        <w:left w:val="none" w:sz="0" w:space="0" w:color="auto"/>
        <w:bottom w:val="none" w:sz="0" w:space="0" w:color="auto"/>
        <w:right w:val="none" w:sz="0" w:space="0" w:color="auto"/>
      </w:divBdr>
    </w:div>
    <w:div w:id="397829755">
      <w:marLeft w:val="480"/>
      <w:marRight w:val="0"/>
      <w:marTop w:val="0"/>
      <w:marBottom w:val="0"/>
      <w:divBdr>
        <w:top w:val="none" w:sz="0" w:space="0" w:color="auto"/>
        <w:left w:val="none" w:sz="0" w:space="0" w:color="auto"/>
        <w:bottom w:val="none" w:sz="0" w:space="0" w:color="auto"/>
        <w:right w:val="none" w:sz="0" w:space="0" w:color="auto"/>
      </w:divBdr>
    </w:div>
    <w:div w:id="467868779">
      <w:marLeft w:val="480"/>
      <w:marRight w:val="0"/>
      <w:marTop w:val="0"/>
      <w:marBottom w:val="0"/>
      <w:divBdr>
        <w:top w:val="none" w:sz="0" w:space="0" w:color="auto"/>
        <w:left w:val="none" w:sz="0" w:space="0" w:color="auto"/>
        <w:bottom w:val="none" w:sz="0" w:space="0" w:color="auto"/>
        <w:right w:val="none" w:sz="0" w:space="0" w:color="auto"/>
      </w:divBdr>
    </w:div>
    <w:div w:id="494953713">
      <w:marLeft w:val="480"/>
      <w:marRight w:val="0"/>
      <w:marTop w:val="0"/>
      <w:marBottom w:val="0"/>
      <w:divBdr>
        <w:top w:val="none" w:sz="0" w:space="0" w:color="auto"/>
        <w:left w:val="none" w:sz="0" w:space="0" w:color="auto"/>
        <w:bottom w:val="none" w:sz="0" w:space="0" w:color="auto"/>
        <w:right w:val="none" w:sz="0" w:space="0" w:color="auto"/>
      </w:divBdr>
    </w:div>
    <w:div w:id="503860607">
      <w:marLeft w:val="480"/>
      <w:marRight w:val="0"/>
      <w:marTop w:val="0"/>
      <w:marBottom w:val="0"/>
      <w:divBdr>
        <w:top w:val="none" w:sz="0" w:space="0" w:color="auto"/>
        <w:left w:val="none" w:sz="0" w:space="0" w:color="auto"/>
        <w:bottom w:val="none" w:sz="0" w:space="0" w:color="auto"/>
        <w:right w:val="none" w:sz="0" w:space="0" w:color="auto"/>
      </w:divBdr>
    </w:div>
    <w:div w:id="517084452">
      <w:marLeft w:val="480"/>
      <w:marRight w:val="0"/>
      <w:marTop w:val="0"/>
      <w:marBottom w:val="0"/>
      <w:divBdr>
        <w:top w:val="none" w:sz="0" w:space="0" w:color="auto"/>
        <w:left w:val="none" w:sz="0" w:space="0" w:color="auto"/>
        <w:bottom w:val="none" w:sz="0" w:space="0" w:color="auto"/>
        <w:right w:val="none" w:sz="0" w:space="0" w:color="auto"/>
      </w:divBdr>
    </w:div>
    <w:div w:id="520702362">
      <w:marLeft w:val="480"/>
      <w:marRight w:val="0"/>
      <w:marTop w:val="0"/>
      <w:marBottom w:val="0"/>
      <w:divBdr>
        <w:top w:val="none" w:sz="0" w:space="0" w:color="auto"/>
        <w:left w:val="none" w:sz="0" w:space="0" w:color="auto"/>
        <w:bottom w:val="none" w:sz="0" w:space="0" w:color="auto"/>
        <w:right w:val="none" w:sz="0" w:space="0" w:color="auto"/>
      </w:divBdr>
    </w:div>
    <w:div w:id="533428058">
      <w:marLeft w:val="480"/>
      <w:marRight w:val="0"/>
      <w:marTop w:val="0"/>
      <w:marBottom w:val="0"/>
      <w:divBdr>
        <w:top w:val="none" w:sz="0" w:space="0" w:color="auto"/>
        <w:left w:val="none" w:sz="0" w:space="0" w:color="auto"/>
        <w:bottom w:val="none" w:sz="0" w:space="0" w:color="auto"/>
        <w:right w:val="none" w:sz="0" w:space="0" w:color="auto"/>
      </w:divBdr>
    </w:div>
    <w:div w:id="541484835">
      <w:marLeft w:val="480"/>
      <w:marRight w:val="0"/>
      <w:marTop w:val="0"/>
      <w:marBottom w:val="0"/>
      <w:divBdr>
        <w:top w:val="none" w:sz="0" w:space="0" w:color="auto"/>
        <w:left w:val="none" w:sz="0" w:space="0" w:color="auto"/>
        <w:bottom w:val="none" w:sz="0" w:space="0" w:color="auto"/>
        <w:right w:val="none" w:sz="0" w:space="0" w:color="auto"/>
      </w:divBdr>
    </w:div>
    <w:div w:id="546533790">
      <w:marLeft w:val="480"/>
      <w:marRight w:val="0"/>
      <w:marTop w:val="0"/>
      <w:marBottom w:val="0"/>
      <w:divBdr>
        <w:top w:val="none" w:sz="0" w:space="0" w:color="auto"/>
        <w:left w:val="none" w:sz="0" w:space="0" w:color="auto"/>
        <w:bottom w:val="none" w:sz="0" w:space="0" w:color="auto"/>
        <w:right w:val="none" w:sz="0" w:space="0" w:color="auto"/>
      </w:divBdr>
    </w:div>
    <w:div w:id="561136934">
      <w:marLeft w:val="480"/>
      <w:marRight w:val="0"/>
      <w:marTop w:val="0"/>
      <w:marBottom w:val="0"/>
      <w:divBdr>
        <w:top w:val="none" w:sz="0" w:space="0" w:color="auto"/>
        <w:left w:val="none" w:sz="0" w:space="0" w:color="auto"/>
        <w:bottom w:val="none" w:sz="0" w:space="0" w:color="auto"/>
        <w:right w:val="none" w:sz="0" w:space="0" w:color="auto"/>
      </w:divBdr>
    </w:div>
    <w:div w:id="572202790">
      <w:marLeft w:val="480"/>
      <w:marRight w:val="0"/>
      <w:marTop w:val="0"/>
      <w:marBottom w:val="0"/>
      <w:divBdr>
        <w:top w:val="none" w:sz="0" w:space="0" w:color="auto"/>
        <w:left w:val="none" w:sz="0" w:space="0" w:color="auto"/>
        <w:bottom w:val="none" w:sz="0" w:space="0" w:color="auto"/>
        <w:right w:val="none" w:sz="0" w:space="0" w:color="auto"/>
      </w:divBdr>
    </w:div>
    <w:div w:id="583996965">
      <w:marLeft w:val="480"/>
      <w:marRight w:val="0"/>
      <w:marTop w:val="0"/>
      <w:marBottom w:val="0"/>
      <w:divBdr>
        <w:top w:val="none" w:sz="0" w:space="0" w:color="auto"/>
        <w:left w:val="none" w:sz="0" w:space="0" w:color="auto"/>
        <w:bottom w:val="none" w:sz="0" w:space="0" w:color="auto"/>
        <w:right w:val="none" w:sz="0" w:space="0" w:color="auto"/>
      </w:divBdr>
    </w:div>
    <w:div w:id="586306486">
      <w:marLeft w:val="480"/>
      <w:marRight w:val="0"/>
      <w:marTop w:val="0"/>
      <w:marBottom w:val="0"/>
      <w:divBdr>
        <w:top w:val="none" w:sz="0" w:space="0" w:color="auto"/>
        <w:left w:val="none" w:sz="0" w:space="0" w:color="auto"/>
        <w:bottom w:val="none" w:sz="0" w:space="0" w:color="auto"/>
        <w:right w:val="none" w:sz="0" w:space="0" w:color="auto"/>
      </w:divBdr>
    </w:div>
    <w:div w:id="618804301">
      <w:marLeft w:val="480"/>
      <w:marRight w:val="0"/>
      <w:marTop w:val="0"/>
      <w:marBottom w:val="0"/>
      <w:divBdr>
        <w:top w:val="none" w:sz="0" w:space="0" w:color="auto"/>
        <w:left w:val="none" w:sz="0" w:space="0" w:color="auto"/>
        <w:bottom w:val="none" w:sz="0" w:space="0" w:color="auto"/>
        <w:right w:val="none" w:sz="0" w:space="0" w:color="auto"/>
      </w:divBdr>
    </w:div>
    <w:div w:id="649405038">
      <w:marLeft w:val="480"/>
      <w:marRight w:val="0"/>
      <w:marTop w:val="0"/>
      <w:marBottom w:val="0"/>
      <w:divBdr>
        <w:top w:val="none" w:sz="0" w:space="0" w:color="auto"/>
        <w:left w:val="none" w:sz="0" w:space="0" w:color="auto"/>
        <w:bottom w:val="none" w:sz="0" w:space="0" w:color="auto"/>
        <w:right w:val="none" w:sz="0" w:space="0" w:color="auto"/>
      </w:divBdr>
    </w:div>
    <w:div w:id="689137054">
      <w:marLeft w:val="480"/>
      <w:marRight w:val="0"/>
      <w:marTop w:val="0"/>
      <w:marBottom w:val="0"/>
      <w:divBdr>
        <w:top w:val="none" w:sz="0" w:space="0" w:color="auto"/>
        <w:left w:val="none" w:sz="0" w:space="0" w:color="auto"/>
        <w:bottom w:val="none" w:sz="0" w:space="0" w:color="auto"/>
        <w:right w:val="none" w:sz="0" w:space="0" w:color="auto"/>
      </w:divBdr>
    </w:div>
    <w:div w:id="715593107">
      <w:marLeft w:val="480"/>
      <w:marRight w:val="0"/>
      <w:marTop w:val="0"/>
      <w:marBottom w:val="0"/>
      <w:divBdr>
        <w:top w:val="none" w:sz="0" w:space="0" w:color="auto"/>
        <w:left w:val="none" w:sz="0" w:space="0" w:color="auto"/>
        <w:bottom w:val="none" w:sz="0" w:space="0" w:color="auto"/>
        <w:right w:val="none" w:sz="0" w:space="0" w:color="auto"/>
      </w:divBdr>
    </w:div>
    <w:div w:id="718672247">
      <w:marLeft w:val="480"/>
      <w:marRight w:val="0"/>
      <w:marTop w:val="0"/>
      <w:marBottom w:val="0"/>
      <w:divBdr>
        <w:top w:val="none" w:sz="0" w:space="0" w:color="auto"/>
        <w:left w:val="none" w:sz="0" w:space="0" w:color="auto"/>
        <w:bottom w:val="none" w:sz="0" w:space="0" w:color="auto"/>
        <w:right w:val="none" w:sz="0" w:space="0" w:color="auto"/>
      </w:divBdr>
    </w:div>
    <w:div w:id="724255528">
      <w:marLeft w:val="480"/>
      <w:marRight w:val="0"/>
      <w:marTop w:val="0"/>
      <w:marBottom w:val="0"/>
      <w:divBdr>
        <w:top w:val="none" w:sz="0" w:space="0" w:color="auto"/>
        <w:left w:val="none" w:sz="0" w:space="0" w:color="auto"/>
        <w:bottom w:val="none" w:sz="0" w:space="0" w:color="auto"/>
        <w:right w:val="none" w:sz="0" w:space="0" w:color="auto"/>
      </w:divBdr>
    </w:div>
    <w:div w:id="733161393">
      <w:marLeft w:val="480"/>
      <w:marRight w:val="0"/>
      <w:marTop w:val="0"/>
      <w:marBottom w:val="0"/>
      <w:divBdr>
        <w:top w:val="none" w:sz="0" w:space="0" w:color="auto"/>
        <w:left w:val="none" w:sz="0" w:space="0" w:color="auto"/>
        <w:bottom w:val="none" w:sz="0" w:space="0" w:color="auto"/>
        <w:right w:val="none" w:sz="0" w:space="0" w:color="auto"/>
      </w:divBdr>
    </w:div>
    <w:div w:id="766777155">
      <w:marLeft w:val="480"/>
      <w:marRight w:val="0"/>
      <w:marTop w:val="0"/>
      <w:marBottom w:val="0"/>
      <w:divBdr>
        <w:top w:val="none" w:sz="0" w:space="0" w:color="auto"/>
        <w:left w:val="none" w:sz="0" w:space="0" w:color="auto"/>
        <w:bottom w:val="none" w:sz="0" w:space="0" w:color="auto"/>
        <w:right w:val="none" w:sz="0" w:space="0" w:color="auto"/>
      </w:divBdr>
    </w:div>
    <w:div w:id="788087753">
      <w:marLeft w:val="480"/>
      <w:marRight w:val="0"/>
      <w:marTop w:val="0"/>
      <w:marBottom w:val="0"/>
      <w:divBdr>
        <w:top w:val="none" w:sz="0" w:space="0" w:color="auto"/>
        <w:left w:val="none" w:sz="0" w:space="0" w:color="auto"/>
        <w:bottom w:val="none" w:sz="0" w:space="0" w:color="auto"/>
        <w:right w:val="none" w:sz="0" w:space="0" w:color="auto"/>
      </w:divBdr>
    </w:div>
    <w:div w:id="808671280">
      <w:marLeft w:val="480"/>
      <w:marRight w:val="0"/>
      <w:marTop w:val="0"/>
      <w:marBottom w:val="0"/>
      <w:divBdr>
        <w:top w:val="none" w:sz="0" w:space="0" w:color="auto"/>
        <w:left w:val="none" w:sz="0" w:space="0" w:color="auto"/>
        <w:bottom w:val="none" w:sz="0" w:space="0" w:color="auto"/>
        <w:right w:val="none" w:sz="0" w:space="0" w:color="auto"/>
      </w:divBdr>
    </w:div>
    <w:div w:id="843980816">
      <w:marLeft w:val="480"/>
      <w:marRight w:val="0"/>
      <w:marTop w:val="0"/>
      <w:marBottom w:val="0"/>
      <w:divBdr>
        <w:top w:val="none" w:sz="0" w:space="0" w:color="auto"/>
        <w:left w:val="none" w:sz="0" w:space="0" w:color="auto"/>
        <w:bottom w:val="none" w:sz="0" w:space="0" w:color="auto"/>
        <w:right w:val="none" w:sz="0" w:space="0" w:color="auto"/>
      </w:divBdr>
    </w:div>
    <w:div w:id="845217905">
      <w:marLeft w:val="480"/>
      <w:marRight w:val="0"/>
      <w:marTop w:val="0"/>
      <w:marBottom w:val="0"/>
      <w:divBdr>
        <w:top w:val="none" w:sz="0" w:space="0" w:color="auto"/>
        <w:left w:val="none" w:sz="0" w:space="0" w:color="auto"/>
        <w:bottom w:val="none" w:sz="0" w:space="0" w:color="auto"/>
        <w:right w:val="none" w:sz="0" w:space="0" w:color="auto"/>
      </w:divBdr>
    </w:div>
    <w:div w:id="851727381">
      <w:marLeft w:val="480"/>
      <w:marRight w:val="0"/>
      <w:marTop w:val="0"/>
      <w:marBottom w:val="0"/>
      <w:divBdr>
        <w:top w:val="none" w:sz="0" w:space="0" w:color="auto"/>
        <w:left w:val="none" w:sz="0" w:space="0" w:color="auto"/>
        <w:bottom w:val="none" w:sz="0" w:space="0" w:color="auto"/>
        <w:right w:val="none" w:sz="0" w:space="0" w:color="auto"/>
      </w:divBdr>
    </w:div>
    <w:div w:id="922104669">
      <w:marLeft w:val="480"/>
      <w:marRight w:val="0"/>
      <w:marTop w:val="0"/>
      <w:marBottom w:val="0"/>
      <w:divBdr>
        <w:top w:val="none" w:sz="0" w:space="0" w:color="auto"/>
        <w:left w:val="none" w:sz="0" w:space="0" w:color="auto"/>
        <w:bottom w:val="none" w:sz="0" w:space="0" w:color="auto"/>
        <w:right w:val="none" w:sz="0" w:space="0" w:color="auto"/>
      </w:divBdr>
    </w:div>
    <w:div w:id="932518591">
      <w:marLeft w:val="480"/>
      <w:marRight w:val="0"/>
      <w:marTop w:val="0"/>
      <w:marBottom w:val="0"/>
      <w:divBdr>
        <w:top w:val="none" w:sz="0" w:space="0" w:color="auto"/>
        <w:left w:val="none" w:sz="0" w:space="0" w:color="auto"/>
        <w:bottom w:val="none" w:sz="0" w:space="0" w:color="auto"/>
        <w:right w:val="none" w:sz="0" w:space="0" w:color="auto"/>
      </w:divBdr>
    </w:div>
    <w:div w:id="954751764">
      <w:marLeft w:val="480"/>
      <w:marRight w:val="0"/>
      <w:marTop w:val="0"/>
      <w:marBottom w:val="0"/>
      <w:divBdr>
        <w:top w:val="none" w:sz="0" w:space="0" w:color="auto"/>
        <w:left w:val="none" w:sz="0" w:space="0" w:color="auto"/>
        <w:bottom w:val="none" w:sz="0" w:space="0" w:color="auto"/>
        <w:right w:val="none" w:sz="0" w:space="0" w:color="auto"/>
      </w:divBdr>
    </w:div>
    <w:div w:id="980111149">
      <w:marLeft w:val="480"/>
      <w:marRight w:val="0"/>
      <w:marTop w:val="0"/>
      <w:marBottom w:val="0"/>
      <w:divBdr>
        <w:top w:val="none" w:sz="0" w:space="0" w:color="auto"/>
        <w:left w:val="none" w:sz="0" w:space="0" w:color="auto"/>
        <w:bottom w:val="none" w:sz="0" w:space="0" w:color="auto"/>
        <w:right w:val="none" w:sz="0" w:space="0" w:color="auto"/>
      </w:divBdr>
    </w:div>
    <w:div w:id="1025835301">
      <w:marLeft w:val="480"/>
      <w:marRight w:val="0"/>
      <w:marTop w:val="0"/>
      <w:marBottom w:val="0"/>
      <w:divBdr>
        <w:top w:val="none" w:sz="0" w:space="0" w:color="auto"/>
        <w:left w:val="none" w:sz="0" w:space="0" w:color="auto"/>
        <w:bottom w:val="none" w:sz="0" w:space="0" w:color="auto"/>
        <w:right w:val="none" w:sz="0" w:space="0" w:color="auto"/>
      </w:divBdr>
    </w:div>
    <w:div w:id="1037316470">
      <w:marLeft w:val="480"/>
      <w:marRight w:val="0"/>
      <w:marTop w:val="0"/>
      <w:marBottom w:val="0"/>
      <w:divBdr>
        <w:top w:val="none" w:sz="0" w:space="0" w:color="auto"/>
        <w:left w:val="none" w:sz="0" w:space="0" w:color="auto"/>
        <w:bottom w:val="none" w:sz="0" w:space="0" w:color="auto"/>
        <w:right w:val="none" w:sz="0" w:space="0" w:color="auto"/>
      </w:divBdr>
    </w:div>
    <w:div w:id="1051615710">
      <w:marLeft w:val="480"/>
      <w:marRight w:val="0"/>
      <w:marTop w:val="0"/>
      <w:marBottom w:val="0"/>
      <w:divBdr>
        <w:top w:val="none" w:sz="0" w:space="0" w:color="auto"/>
        <w:left w:val="none" w:sz="0" w:space="0" w:color="auto"/>
        <w:bottom w:val="none" w:sz="0" w:space="0" w:color="auto"/>
        <w:right w:val="none" w:sz="0" w:space="0" w:color="auto"/>
      </w:divBdr>
    </w:div>
    <w:div w:id="1066807385">
      <w:marLeft w:val="480"/>
      <w:marRight w:val="0"/>
      <w:marTop w:val="0"/>
      <w:marBottom w:val="0"/>
      <w:divBdr>
        <w:top w:val="none" w:sz="0" w:space="0" w:color="auto"/>
        <w:left w:val="none" w:sz="0" w:space="0" w:color="auto"/>
        <w:bottom w:val="none" w:sz="0" w:space="0" w:color="auto"/>
        <w:right w:val="none" w:sz="0" w:space="0" w:color="auto"/>
      </w:divBdr>
    </w:div>
    <w:div w:id="1112237770">
      <w:marLeft w:val="480"/>
      <w:marRight w:val="0"/>
      <w:marTop w:val="0"/>
      <w:marBottom w:val="0"/>
      <w:divBdr>
        <w:top w:val="none" w:sz="0" w:space="0" w:color="auto"/>
        <w:left w:val="none" w:sz="0" w:space="0" w:color="auto"/>
        <w:bottom w:val="none" w:sz="0" w:space="0" w:color="auto"/>
        <w:right w:val="none" w:sz="0" w:space="0" w:color="auto"/>
      </w:divBdr>
    </w:div>
    <w:div w:id="1120689233">
      <w:marLeft w:val="480"/>
      <w:marRight w:val="0"/>
      <w:marTop w:val="0"/>
      <w:marBottom w:val="0"/>
      <w:divBdr>
        <w:top w:val="none" w:sz="0" w:space="0" w:color="auto"/>
        <w:left w:val="none" w:sz="0" w:space="0" w:color="auto"/>
        <w:bottom w:val="none" w:sz="0" w:space="0" w:color="auto"/>
        <w:right w:val="none" w:sz="0" w:space="0" w:color="auto"/>
      </w:divBdr>
    </w:div>
    <w:div w:id="1138491956">
      <w:marLeft w:val="480"/>
      <w:marRight w:val="0"/>
      <w:marTop w:val="0"/>
      <w:marBottom w:val="0"/>
      <w:divBdr>
        <w:top w:val="none" w:sz="0" w:space="0" w:color="auto"/>
        <w:left w:val="none" w:sz="0" w:space="0" w:color="auto"/>
        <w:bottom w:val="none" w:sz="0" w:space="0" w:color="auto"/>
        <w:right w:val="none" w:sz="0" w:space="0" w:color="auto"/>
      </w:divBdr>
    </w:div>
    <w:div w:id="1173764789">
      <w:marLeft w:val="480"/>
      <w:marRight w:val="0"/>
      <w:marTop w:val="0"/>
      <w:marBottom w:val="0"/>
      <w:divBdr>
        <w:top w:val="none" w:sz="0" w:space="0" w:color="auto"/>
        <w:left w:val="none" w:sz="0" w:space="0" w:color="auto"/>
        <w:bottom w:val="none" w:sz="0" w:space="0" w:color="auto"/>
        <w:right w:val="none" w:sz="0" w:space="0" w:color="auto"/>
      </w:divBdr>
    </w:div>
    <w:div w:id="1180199878">
      <w:marLeft w:val="480"/>
      <w:marRight w:val="0"/>
      <w:marTop w:val="0"/>
      <w:marBottom w:val="0"/>
      <w:divBdr>
        <w:top w:val="none" w:sz="0" w:space="0" w:color="auto"/>
        <w:left w:val="none" w:sz="0" w:space="0" w:color="auto"/>
        <w:bottom w:val="none" w:sz="0" w:space="0" w:color="auto"/>
        <w:right w:val="none" w:sz="0" w:space="0" w:color="auto"/>
      </w:divBdr>
    </w:div>
    <w:div w:id="1194271050">
      <w:marLeft w:val="480"/>
      <w:marRight w:val="0"/>
      <w:marTop w:val="0"/>
      <w:marBottom w:val="0"/>
      <w:divBdr>
        <w:top w:val="none" w:sz="0" w:space="0" w:color="auto"/>
        <w:left w:val="none" w:sz="0" w:space="0" w:color="auto"/>
        <w:bottom w:val="none" w:sz="0" w:space="0" w:color="auto"/>
        <w:right w:val="none" w:sz="0" w:space="0" w:color="auto"/>
      </w:divBdr>
    </w:div>
    <w:div w:id="1223444428">
      <w:marLeft w:val="480"/>
      <w:marRight w:val="0"/>
      <w:marTop w:val="0"/>
      <w:marBottom w:val="0"/>
      <w:divBdr>
        <w:top w:val="none" w:sz="0" w:space="0" w:color="auto"/>
        <w:left w:val="none" w:sz="0" w:space="0" w:color="auto"/>
        <w:bottom w:val="none" w:sz="0" w:space="0" w:color="auto"/>
        <w:right w:val="none" w:sz="0" w:space="0" w:color="auto"/>
      </w:divBdr>
    </w:div>
    <w:div w:id="1225948887">
      <w:marLeft w:val="480"/>
      <w:marRight w:val="0"/>
      <w:marTop w:val="0"/>
      <w:marBottom w:val="0"/>
      <w:divBdr>
        <w:top w:val="none" w:sz="0" w:space="0" w:color="auto"/>
        <w:left w:val="none" w:sz="0" w:space="0" w:color="auto"/>
        <w:bottom w:val="none" w:sz="0" w:space="0" w:color="auto"/>
        <w:right w:val="none" w:sz="0" w:space="0" w:color="auto"/>
      </w:divBdr>
    </w:div>
    <w:div w:id="1256746154">
      <w:marLeft w:val="480"/>
      <w:marRight w:val="0"/>
      <w:marTop w:val="0"/>
      <w:marBottom w:val="0"/>
      <w:divBdr>
        <w:top w:val="none" w:sz="0" w:space="0" w:color="auto"/>
        <w:left w:val="none" w:sz="0" w:space="0" w:color="auto"/>
        <w:bottom w:val="none" w:sz="0" w:space="0" w:color="auto"/>
        <w:right w:val="none" w:sz="0" w:space="0" w:color="auto"/>
      </w:divBdr>
    </w:div>
    <w:div w:id="1277828281">
      <w:marLeft w:val="480"/>
      <w:marRight w:val="0"/>
      <w:marTop w:val="0"/>
      <w:marBottom w:val="0"/>
      <w:divBdr>
        <w:top w:val="none" w:sz="0" w:space="0" w:color="auto"/>
        <w:left w:val="none" w:sz="0" w:space="0" w:color="auto"/>
        <w:bottom w:val="none" w:sz="0" w:space="0" w:color="auto"/>
        <w:right w:val="none" w:sz="0" w:space="0" w:color="auto"/>
      </w:divBdr>
    </w:div>
    <w:div w:id="1294949070">
      <w:marLeft w:val="480"/>
      <w:marRight w:val="0"/>
      <w:marTop w:val="0"/>
      <w:marBottom w:val="0"/>
      <w:divBdr>
        <w:top w:val="none" w:sz="0" w:space="0" w:color="auto"/>
        <w:left w:val="none" w:sz="0" w:space="0" w:color="auto"/>
        <w:bottom w:val="none" w:sz="0" w:space="0" w:color="auto"/>
        <w:right w:val="none" w:sz="0" w:space="0" w:color="auto"/>
      </w:divBdr>
    </w:div>
    <w:div w:id="1300502754">
      <w:marLeft w:val="480"/>
      <w:marRight w:val="0"/>
      <w:marTop w:val="0"/>
      <w:marBottom w:val="0"/>
      <w:divBdr>
        <w:top w:val="none" w:sz="0" w:space="0" w:color="auto"/>
        <w:left w:val="none" w:sz="0" w:space="0" w:color="auto"/>
        <w:bottom w:val="none" w:sz="0" w:space="0" w:color="auto"/>
        <w:right w:val="none" w:sz="0" w:space="0" w:color="auto"/>
      </w:divBdr>
    </w:div>
    <w:div w:id="1323508291">
      <w:marLeft w:val="480"/>
      <w:marRight w:val="0"/>
      <w:marTop w:val="0"/>
      <w:marBottom w:val="0"/>
      <w:divBdr>
        <w:top w:val="none" w:sz="0" w:space="0" w:color="auto"/>
        <w:left w:val="none" w:sz="0" w:space="0" w:color="auto"/>
        <w:bottom w:val="none" w:sz="0" w:space="0" w:color="auto"/>
        <w:right w:val="none" w:sz="0" w:space="0" w:color="auto"/>
      </w:divBdr>
    </w:div>
    <w:div w:id="1334407012">
      <w:marLeft w:val="480"/>
      <w:marRight w:val="0"/>
      <w:marTop w:val="0"/>
      <w:marBottom w:val="0"/>
      <w:divBdr>
        <w:top w:val="none" w:sz="0" w:space="0" w:color="auto"/>
        <w:left w:val="none" w:sz="0" w:space="0" w:color="auto"/>
        <w:bottom w:val="none" w:sz="0" w:space="0" w:color="auto"/>
        <w:right w:val="none" w:sz="0" w:space="0" w:color="auto"/>
      </w:divBdr>
    </w:div>
    <w:div w:id="1335495221">
      <w:marLeft w:val="480"/>
      <w:marRight w:val="0"/>
      <w:marTop w:val="0"/>
      <w:marBottom w:val="0"/>
      <w:divBdr>
        <w:top w:val="none" w:sz="0" w:space="0" w:color="auto"/>
        <w:left w:val="none" w:sz="0" w:space="0" w:color="auto"/>
        <w:bottom w:val="none" w:sz="0" w:space="0" w:color="auto"/>
        <w:right w:val="none" w:sz="0" w:space="0" w:color="auto"/>
      </w:divBdr>
    </w:div>
    <w:div w:id="1385105143">
      <w:marLeft w:val="480"/>
      <w:marRight w:val="0"/>
      <w:marTop w:val="0"/>
      <w:marBottom w:val="0"/>
      <w:divBdr>
        <w:top w:val="none" w:sz="0" w:space="0" w:color="auto"/>
        <w:left w:val="none" w:sz="0" w:space="0" w:color="auto"/>
        <w:bottom w:val="none" w:sz="0" w:space="0" w:color="auto"/>
        <w:right w:val="none" w:sz="0" w:space="0" w:color="auto"/>
      </w:divBdr>
    </w:div>
    <w:div w:id="1409613842">
      <w:marLeft w:val="480"/>
      <w:marRight w:val="0"/>
      <w:marTop w:val="0"/>
      <w:marBottom w:val="0"/>
      <w:divBdr>
        <w:top w:val="none" w:sz="0" w:space="0" w:color="auto"/>
        <w:left w:val="none" w:sz="0" w:space="0" w:color="auto"/>
        <w:bottom w:val="none" w:sz="0" w:space="0" w:color="auto"/>
        <w:right w:val="none" w:sz="0" w:space="0" w:color="auto"/>
      </w:divBdr>
    </w:div>
    <w:div w:id="1443694122">
      <w:marLeft w:val="480"/>
      <w:marRight w:val="0"/>
      <w:marTop w:val="0"/>
      <w:marBottom w:val="0"/>
      <w:divBdr>
        <w:top w:val="none" w:sz="0" w:space="0" w:color="auto"/>
        <w:left w:val="none" w:sz="0" w:space="0" w:color="auto"/>
        <w:bottom w:val="none" w:sz="0" w:space="0" w:color="auto"/>
        <w:right w:val="none" w:sz="0" w:space="0" w:color="auto"/>
      </w:divBdr>
    </w:div>
    <w:div w:id="1450585059">
      <w:marLeft w:val="480"/>
      <w:marRight w:val="0"/>
      <w:marTop w:val="0"/>
      <w:marBottom w:val="0"/>
      <w:divBdr>
        <w:top w:val="none" w:sz="0" w:space="0" w:color="auto"/>
        <w:left w:val="none" w:sz="0" w:space="0" w:color="auto"/>
        <w:bottom w:val="none" w:sz="0" w:space="0" w:color="auto"/>
        <w:right w:val="none" w:sz="0" w:space="0" w:color="auto"/>
      </w:divBdr>
    </w:div>
    <w:div w:id="1451433457">
      <w:marLeft w:val="480"/>
      <w:marRight w:val="0"/>
      <w:marTop w:val="0"/>
      <w:marBottom w:val="0"/>
      <w:divBdr>
        <w:top w:val="none" w:sz="0" w:space="0" w:color="auto"/>
        <w:left w:val="none" w:sz="0" w:space="0" w:color="auto"/>
        <w:bottom w:val="none" w:sz="0" w:space="0" w:color="auto"/>
        <w:right w:val="none" w:sz="0" w:space="0" w:color="auto"/>
      </w:divBdr>
    </w:div>
    <w:div w:id="1474980571">
      <w:marLeft w:val="480"/>
      <w:marRight w:val="0"/>
      <w:marTop w:val="0"/>
      <w:marBottom w:val="0"/>
      <w:divBdr>
        <w:top w:val="none" w:sz="0" w:space="0" w:color="auto"/>
        <w:left w:val="none" w:sz="0" w:space="0" w:color="auto"/>
        <w:bottom w:val="none" w:sz="0" w:space="0" w:color="auto"/>
        <w:right w:val="none" w:sz="0" w:space="0" w:color="auto"/>
      </w:divBdr>
    </w:div>
    <w:div w:id="1489127925">
      <w:marLeft w:val="480"/>
      <w:marRight w:val="0"/>
      <w:marTop w:val="0"/>
      <w:marBottom w:val="0"/>
      <w:divBdr>
        <w:top w:val="none" w:sz="0" w:space="0" w:color="auto"/>
        <w:left w:val="none" w:sz="0" w:space="0" w:color="auto"/>
        <w:bottom w:val="none" w:sz="0" w:space="0" w:color="auto"/>
        <w:right w:val="none" w:sz="0" w:space="0" w:color="auto"/>
      </w:divBdr>
    </w:div>
    <w:div w:id="1503273775">
      <w:marLeft w:val="480"/>
      <w:marRight w:val="0"/>
      <w:marTop w:val="0"/>
      <w:marBottom w:val="0"/>
      <w:divBdr>
        <w:top w:val="none" w:sz="0" w:space="0" w:color="auto"/>
        <w:left w:val="none" w:sz="0" w:space="0" w:color="auto"/>
        <w:bottom w:val="none" w:sz="0" w:space="0" w:color="auto"/>
        <w:right w:val="none" w:sz="0" w:space="0" w:color="auto"/>
      </w:divBdr>
    </w:div>
    <w:div w:id="1571188686">
      <w:marLeft w:val="480"/>
      <w:marRight w:val="0"/>
      <w:marTop w:val="0"/>
      <w:marBottom w:val="0"/>
      <w:divBdr>
        <w:top w:val="none" w:sz="0" w:space="0" w:color="auto"/>
        <w:left w:val="none" w:sz="0" w:space="0" w:color="auto"/>
        <w:bottom w:val="none" w:sz="0" w:space="0" w:color="auto"/>
        <w:right w:val="none" w:sz="0" w:space="0" w:color="auto"/>
      </w:divBdr>
    </w:div>
    <w:div w:id="1608735914">
      <w:marLeft w:val="480"/>
      <w:marRight w:val="0"/>
      <w:marTop w:val="0"/>
      <w:marBottom w:val="0"/>
      <w:divBdr>
        <w:top w:val="none" w:sz="0" w:space="0" w:color="auto"/>
        <w:left w:val="none" w:sz="0" w:space="0" w:color="auto"/>
        <w:bottom w:val="none" w:sz="0" w:space="0" w:color="auto"/>
        <w:right w:val="none" w:sz="0" w:space="0" w:color="auto"/>
      </w:divBdr>
    </w:div>
    <w:div w:id="1658654414">
      <w:marLeft w:val="480"/>
      <w:marRight w:val="0"/>
      <w:marTop w:val="0"/>
      <w:marBottom w:val="0"/>
      <w:divBdr>
        <w:top w:val="none" w:sz="0" w:space="0" w:color="auto"/>
        <w:left w:val="none" w:sz="0" w:space="0" w:color="auto"/>
        <w:bottom w:val="none" w:sz="0" w:space="0" w:color="auto"/>
        <w:right w:val="none" w:sz="0" w:space="0" w:color="auto"/>
      </w:divBdr>
    </w:div>
    <w:div w:id="1697582865">
      <w:marLeft w:val="480"/>
      <w:marRight w:val="0"/>
      <w:marTop w:val="0"/>
      <w:marBottom w:val="0"/>
      <w:divBdr>
        <w:top w:val="none" w:sz="0" w:space="0" w:color="auto"/>
        <w:left w:val="none" w:sz="0" w:space="0" w:color="auto"/>
        <w:bottom w:val="none" w:sz="0" w:space="0" w:color="auto"/>
        <w:right w:val="none" w:sz="0" w:space="0" w:color="auto"/>
      </w:divBdr>
    </w:div>
    <w:div w:id="1731226781">
      <w:marLeft w:val="480"/>
      <w:marRight w:val="0"/>
      <w:marTop w:val="0"/>
      <w:marBottom w:val="0"/>
      <w:divBdr>
        <w:top w:val="none" w:sz="0" w:space="0" w:color="auto"/>
        <w:left w:val="none" w:sz="0" w:space="0" w:color="auto"/>
        <w:bottom w:val="none" w:sz="0" w:space="0" w:color="auto"/>
        <w:right w:val="none" w:sz="0" w:space="0" w:color="auto"/>
      </w:divBdr>
    </w:div>
    <w:div w:id="1741101337">
      <w:marLeft w:val="480"/>
      <w:marRight w:val="0"/>
      <w:marTop w:val="0"/>
      <w:marBottom w:val="0"/>
      <w:divBdr>
        <w:top w:val="none" w:sz="0" w:space="0" w:color="auto"/>
        <w:left w:val="none" w:sz="0" w:space="0" w:color="auto"/>
        <w:bottom w:val="none" w:sz="0" w:space="0" w:color="auto"/>
        <w:right w:val="none" w:sz="0" w:space="0" w:color="auto"/>
      </w:divBdr>
    </w:div>
    <w:div w:id="1742823207">
      <w:marLeft w:val="480"/>
      <w:marRight w:val="0"/>
      <w:marTop w:val="0"/>
      <w:marBottom w:val="0"/>
      <w:divBdr>
        <w:top w:val="none" w:sz="0" w:space="0" w:color="auto"/>
        <w:left w:val="none" w:sz="0" w:space="0" w:color="auto"/>
        <w:bottom w:val="none" w:sz="0" w:space="0" w:color="auto"/>
        <w:right w:val="none" w:sz="0" w:space="0" w:color="auto"/>
      </w:divBdr>
    </w:div>
    <w:div w:id="1745372373">
      <w:marLeft w:val="480"/>
      <w:marRight w:val="0"/>
      <w:marTop w:val="0"/>
      <w:marBottom w:val="0"/>
      <w:divBdr>
        <w:top w:val="none" w:sz="0" w:space="0" w:color="auto"/>
        <w:left w:val="none" w:sz="0" w:space="0" w:color="auto"/>
        <w:bottom w:val="none" w:sz="0" w:space="0" w:color="auto"/>
        <w:right w:val="none" w:sz="0" w:space="0" w:color="auto"/>
      </w:divBdr>
    </w:div>
    <w:div w:id="1746955227">
      <w:marLeft w:val="480"/>
      <w:marRight w:val="0"/>
      <w:marTop w:val="0"/>
      <w:marBottom w:val="0"/>
      <w:divBdr>
        <w:top w:val="none" w:sz="0" w:space="0" w:color="auto"/>
        <w:left w:val="none" w:sz="0" w:space="0" w:color="auto"/>
        <w:bottom w:val="none" w:sz="0" w:space="0" w:color="auto"/>
        <w:right w:val="none" w:sz="0" w:space="0" w:color="auto"/>
      </w:divBdr>
    </w:div>
    <w:div w:id="1756131113">
      <w:marLeft w:val="480"/>
      <w:marRight w:val="0"/>
      <w:marTop w:val="0"/>
      <w:marBottom w:val="0"/>
      <w:divBdr>
        <w:top w:val="none" w:sz="0" w:space="0" w:color="auto"/>
        <w:left w:val="none" w:sz="0" w:space="0" w:color="auto"/>
        <w:bottom w:val="none" w:sz="0" w:space="0" w:color="auto"/>
        <w:right w:val="none" w:sz="0" w:space="0" w:color="auto"/>
      </w:divBdr>
    </w:div>
    <w:div w:id="1786728715">
      <w:bodyDiv w:val="1"/>
      <w:marLeft w:val="0"/>
      <w:marRight w:val="0"/>
      <w:marTop w:val="0"/>
      <w:marBottom w:val="0"/>
      <w:divBdr>
        <w:top w:val="none" w:sz="0" w:space="0" w:color="auto"/>
        <w:left w:val="none" w:sz="0" w:space="0" w:color="auto"/>
        <w:bottom w:val="none" w:sz="0" w:space="0" w:color="auto"/>
        <w:right w:val="none" w:sz="0" w:space="0" w:color="auto"/>
      </w:divBdr>
    </w:div>
    <w:div w:id="1844515675">
      <w:marLeft w:val="480"/>
      <w:marRight w:val="0"/>
      <w:marTop w:val="0"/>
      <w:marBottom w:val="0"/>
      <w:divBdr>
        <w:top w:val="none" w:sz="0" w:space="0" w:color="auto"/>
        <w:left w:val="none" w:sz="0" w:space="0" w:color="auto"/>
        <w:bottom w:val="none" w:sz="0" w:space="0" w:color="auto"/>
        <w:right w:val="none" w:sz="0" w:space="0" w:color="auto"/>
      </w:divBdr>
    </w:div>
    <w:div w:id="1861242500">
      <w:marLeft w:val="480"/>
      <w:marRight w:val="0"/>
      <w:marTop w:val="0"/>
      <w:marBottom w:val="0"/>
      <w:divBdr>
        <w:top w:val="none" w:sz="0" w:space="0" w:color="auto"/>
        <w:left w:val="none" w:sz="0" w:space="0" w:color="auto"/>
        <w:bottom w:val="none" w:sz="0" w:space="0" w:color="auto"/>
        <w:right w:val="none" w:sz="0" w:space="0" w:color="auto"/>
      </w:divBdr>
    </w:div>
    <w:div w:id="1880706696">
      <w:marLeft w:val="480"/>
      <w:marRight w:val="0"/>
      <w:marTop w:val="0"/>
      <w:marBottom w:val="0"/>
      <w:divBdr>
        <w:top w:val="none" w:sz="0" w:space="0" w:color="auto"/>
        <w:left w:val="none" w:sz="0" w:space="0" w:color="auto"/>
        <w:bottom w:val="none" w:sz="0" w:space="0" w:color="auto"/>
        <w:right w:val="none" w:sz="0" w:space="0" w:color="auto"/>
      </w:divBdr>
    </w:div>
    <w:div w:id="1918900774">
      <w:marLeft w:val="480"/>
      <w:marRight w:val="0"/>
      <w:marTop w:val="0"/>
      <w:marBottom w:val="0"/>
      <w:divBdr>
        <w:top w:val="none" w:sz="0" w:space="0" w:color="auto"/>
        <w:left w:val="none" w:sz="0" w:space="0" w:color="auto"/>
        <w:bottom w:val="none" w:sz="0" w:space="0" w:color="auto"/>
        <w:right w:val="none" w:sz="0" w:space="0" w:color="auto"/>
      </w:divBdr>
    </w:div>
    <w:div w:id="1920213549">
      <w:marLeft w:val="480"/>
      <w:marRight w:val="0"/>
      <w:marTop w:val="0"/>
      <w:marBottom w:val="0"/>
      <w:divBdr>
        <w:top w:val="none" w:sz="0" w:space="0" w:color="auto"/>
        <w:left w:val="none" w:sz="0" w:space="0" w:color="auto"/>
        <w:bottom w:val="none" w:sz="0" w:space="0" w:color="auto"/>
        <w:right w:val="none" w:sz="0" w:space="0" w:color="auto"/>
      </w:divBdr>
    </w:div>
    <w:div w:id="1924294415">
      <w:marLeft w:val="480"/>
      <w:marRight w:val="0"/>
      <w:marTop w:val="0"/>
      <w:marBottom w:val="0"/>
      <w:divBdr>
        <w:top w:val="none" w:sz="0" w:space="0" w:color="auto"/>
        <w:left w:val="none" w:sz="0" w:space="0" w:color="auto"/>
        <w:bottom w:val="none" w:sz="0" w:space="0" w:color="auto"/>
        <w:right w:val="none" w:sz="0" w:space="0" w:color="auto"/>
      </w:divBdr>
    </w:div>
    <w:div w:id="1946496150">
      <w:marLeft w:val="480"/>
      <w:marRight w:val="0"/>
      <w:marTop w:val="0"/>
      <w:marBottom w:val="0"/>
      <w:divBdr>
        <w:top w:val="none" w:sz="0" w:space="0" w:color="auto"/>
        <w:left w:val="none" w:sz="0" w:space="0" w:color="auto"/>
        <w:bottom w:val="none" w:sz="0" w:space="0" w:color="auto"/>
        <w:right w:val="none" w:sz="0" w:space="0" w:color="auto"/>
      </w:divBdr>
    </w:div>
    <w:div w:id="1985965598">
      <w:marLeft w:val="480"/>
      <w:marRight w:val="0"/>
      <w:marTop w:val="0"/>
      <w:marBottom w:val="0"/>
      <w:divBdr>
        <w:top w:val="none" w:sz="0" w:space="0" w:color="auto"/>
        <w:left w:val="none" w:sz="0" w:space="0" w:color="auto"/>
        <w:bottom w:val="none" w:sz="0" w:space="0" w:color="auto"/>
        <w:right w:val="none" w:sz="0" w:space="0" w:color="auto"/>
      </w:divBdr>
    </w:div>
    <w:div w:id="1988629935">
      <w:marLeft w:val="480"/>
      <w:marRight w:val="0"/>
      <w:marTop w:val="0"/>
      <w:marBottom w:val="0"/>
      <w:divBdr>
        <w:top w:val="none" w:sz="0" w:space="0" w:color="auto"/>
        <w:left w:val="none" w:sz="0" w:space="0" w:color="auto"/>
        <w:bottom w:val="none" w:sz="0" w:space="0" w:color="auto"/>
        <w:right w:val="none" w:sz="0" w:space="0" w:color="auto"/>
      </w:divBdr>
    </w:div>
    <w:div w:id="1989047223">
      <w:marLeft w:val="480"/>
      <w:marRight w:val="0"/>
      <w:marTop w:val="0"/>
      <w:marBottom w:val="0"/>
      <w:divBdr>
        <w:top w:val="none" w:sz="0" w:space="0" w:color="auto"/>
        <w:left w:val="none" w:sz="0" w:space="0" w:color="auto"/>
        <w:bottom w:val="none" w:sz="0" w:space="0" w:color="auto"/>
        <w:right w:val="none" w:sz="0" w:space="0" w:color="auto"/>
      </w:divBdr>
    </w:div>
    <w:div w:id="1989507575">
      <w:marLeft w:val="480"/>
      <w:marRight w:val="0"/>
      <w:marTop w:val="0"/>
      <w:marBottom w:val="0"/>
      <w:divBdr>
        <w:top w:val="none" w:sz="0" w:space="0" w:color="auto"/>
        <w:left w:val="none" w:sz="0" w:space="0" w:color="auto"/>
        <w:bottom w:val="none" w:sz="0" w:space="0" w:color="auto"/>
        <w:right w:val="none" w:sz="0" w:space="0" w:color="auto"/>
      </w:divBdr>
    </w:div>
    <w:div w:id="1990934233">
      <w:marLeft w:val="480"/>
      <w:marRight w:val="0"/>
      <w:marTop w:val="0"/>
      <w:marBottom w:val="0"/>
      <w:divBdr>
        <w:top w:val="none" w:sz="0" w:space="0" w:color="auto"/>
        <w:left w:val="none" w:sz="0" w:space="0" w:color="auto"/>
        <w:bottom w:val="none" w:sz="0" w:space="0" w:color="auto"/>
        <w:right w:val="none" w:sz="0" w:space="0" w:color="auto"/>
      </w:divBdr>
    </w:div>
    <w:div w:id="2014798758">
      <w:marLeft w:val="480"/>
      <w:marRight w:val="0"/>
      <w:marTop w:val="0"/>
      <w:marBottom w:val="0"/>
      <w:divBdr>
        <w:top w:val="none" w:sz="0" w:space="0" w:color="auto"/>
        <w:left w:val="none" w:sz="0" w:space="0" w:color="auto"/>
        <w:bottom w:val="none" w:sz="0" w:space="0" w:color="auto"/>
        <w:right w:val="none" w:sz="0" w:space="0" w:color="auto"/>
      </w:divBdr>
    </w:div>
    <w:div w:id="2031057644">
      <w:marLeft w:val="480"/>
      <w:marRight w:val="0"/>
      <w:marTop w:val="0"/>
      <w:marBottom w:val="0"/>
      <w:divBdr>
        <w:top w:val="none" w:sz="0" w:space="0" w:color="auto"/>
        <w:left w:val="none" w:sz="0" w:space="0" w:color="auto"/>
        <w:bottom w:val="none" w:sz="0" w:space="0" w:color="auto"/>
        <w:right w:val="none" w:sz="0" w:space="0" w:color="auto"/>
      </w:divBdr>
    </w:div>
    <w:div w:id="2040860039">
      <w:marLeft w:val="480"/>
      <w:marRight w:val="0"/>
      <w:marTop w:val="0"/>
      <w:marBottom w:val="0"/>
      <w:divBdr>
        <w:top w:val="none" w:sz="0" w:space="0" w:color="auto"/>
        <w:left w:val="none" w:sz="0" w:space="0" w:color="auto"/>
        <w:bottom w:val="none" w:sz="0" w:space="0" w:color="auto"/>
        <w:right w:val="none" w:sz="0" w:space="0" w:color="auto"/>
      </w:divBdr>
    </w:div>
    <w:div w:id="2062706319">
      <w:marLeft w:val="480"/>
      <w:marRight w:val="0"/>
      <w:marTop w:val="0"/>
      <w:marBottom w:val="0"/>
      <w:divBdr>
        <w:top w:val="none" w:sz="0" w:space="0" w:color="auto"/>
        <w:left w:val="none" w:sz="0" w:space="0" w:color="auto"/>
        <w:bottom w:val="none" w:sz="0" w:space="0" w:color="auto"/>
        <w:right w:val="none" w:sz="0" w:space="0" w:color="auto"/>
      </w:divBdr>
    </w:div>
    <w:div w:id="2069376532">
      <w:marLeft w:val="480"/>
      <w:marRight w:val="0"/>
      <w:marTop w:val="0"/>
      <w:marBottom w:val="0"/>
      <w:divBdr>
        <w:top w:val="none" w:sz="0" w:space="0" w:color="auto"/>
        <w:left w:val="none" w:sz="0" w:space="0" w:color="auto"/>
        <w:bottom w:val="none" w:sz="0" w:space="0" w:color="auto"/>
        <w:right w:val="none" w:sz="0" w:space="0" w:color="auto"/>
      </w:divBdr>
    </w:div>
    <w:div w:id="2069768674">
      <w:marLeft w:val="480"/>
      <w:marRight w:val="0"/>
      <w:marTop w:val="0"/>
      <w:marBottom w:val="0"/>
      <w:divBdr>
        <w:top w:val="none" w:sz="0" w:space="0" w:color="auto"/>
        <w:left w:val="none" w:sz="0" w:space="0" w:color="auto"/>
        <w:bottom w:val="none" w:sz="0" w:space="0" w:color="auto"/>
        <w:right w:val="none" w:sz="0" w:space="0" w:color="auto"/>
      </w:divBdr>
    </w:div>
    <w:div w:id="2072344442">
      <w:marLeft w:val="480"/>
      <w:marRight w:val="0"/>
      <w:marTop w:val="0"/>
      <w:marBottom w:val="0"/>
      <w:divBdr>
        <w:top w:val="none" w:sz="0" w:space="0" w:color="auto"/>
        <w:left w:val="none" w:sz="0" w:space="0" w:color="auto"/>
        <w:bottom w:val="none" w:sz="0" w:space="0" w:color="auto"/>
        <w:right w:val="none" w:sz="0" w:space="0" w:color="auto"/>
      </w:divBdr>
    </w:div>
    <w:div w:id="2119762270">
      <w:marLeft w:val="480"/>
      <w:marRight w:val="0"/>
      <w:marTop w:val="0"/>
      <w:marBottom w:val="0"/>
      <w:divBdr>
        <w:top w:val="none" w:sz="0" w:space="0" w:color="auto"/>
        <w:left w:val="none" w:sz="0" w:space="0" w:color="auto"/>
        <w:bottom w:val="none" w:sz="0" w:space="0" w:color="auto"/>
        <w:right w:val="none" w:sz="0" w:space="0" w:color="auto"/>
      </w:divBdr>
    </w:div>
    <w:div w:id="2129661405">
      <w:marLeft w:val="48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emf"/><Relationship Id="rId26" Type="http://schemas.openxmlformats.org/officeDocument/2006/relationships/hyperlink" Target="https://doi.org/10.1080/00036846.2011.591732" TargetMode="External"/><Relationship Id="rId39" Type="http://schemas.openxmlformats.org/officeDocument/2006/relationships/hyperlink" Target="https://doi.org/10.1111/j.1538-4616.2008.00165.x" TargetMode="External"/><Relationship Id="rId21" Type="http://schemas.openxmlformats.org/officeDocument/2006/relationships/oleObject" Target="embeddings/oleObject3.bin"/><Relationship Id="rId34" Type="http://schemas.openxmlformats.org/officeDocument/2006/relationships/hyperlink" Target="https://doi.org/10.1016/j.jmoneco.2024.103580" TargetMode="External"/><Relationship Id="rId42" Type="http://schemas.openxmlformats.org/officeDocument/2006/relationships/hyperlink" Target="https://doi.org/10.31685/kek.V6.1" TargetMode="External"/><Relationship Id="rId47" Type="http://schemas.openxmlformats.org/officeDocument/2006/relationships/hyperlink" Target="https://doi.org/10.1016/j.pacfin.2023.102233" TargetMode="External"/><Relationship Id="rId50" Type="http://schemas.openxmlformats.org/officeDocument/2006/relationships/hyperlink" Target="https://doi.org/10.22437/ppd.v9i2.11489" TargetMode="External"/><Relationship Id="rId55" Type="http://schemas.openxmlformats.org/officeDocument/2006/relationships/header" Target="header5.xml"/><Relationship Id="rId63" Type="http://schemas.microsoft.com/office/2018/08/relationships/commentsExtensible" Target="commentsExtensi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yperlink" Target="http://www.bis.org" TargetMode="External"/><Relationship Id="rId41" Type="http://schemas.openxmlformats.org/officeDocument/2006/relationships/hyperlink" Target="https://www.marxists.org/reference/subject/economics/keynes/general-theory/" TargetMode="External"/><Relationship Id="rId54" Type="http://schemas.openxmlformats.org/officeDocument/2006/relationships/footer" Target="footer5.xm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emf"/><Relationship Id="rId32" Type="http://schemas.openxmlformats.org/officeDocument/2006/relationships/hyperlink" Target="https://doi.org/10.1257/jel.37.4.1661" TargetMode="External"/><Relationship Id="rId37" Type="http://schemas.openxmlformats.org/officeDocument/2006/relationships/hyperlink" Target="http://www.imf.org" TargetMode="External"/><Relationship Id="rId40" Type="http://schemas.openxmlformats.org/officeDocument/2006/relationships/hyperlink" Target="https://doi.org/10.1086/ma.19.3585327" TargetMode="External"/><Relationship Id="rId45" Type="http://schemas.openxmlformats.org/officeDocument/2006/relationships/hyperlink" Target="https://doi.org/10.1093/qje/qjq008" TargetMode="External"/><Relationship Id="rId53" Type="http://schemas.openxmlformats.org/officeDocument/2006/relationships/footer" Target="footer4.xml"/><Relationship Id="rId58"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4.bin"/><Relationship Id="rId28" Type="http://schemas.openxmlformats.org/officeDocument/2006/relationships/hyperlink" Target="https://doi.org/10.1257/pol.4.2.1" TargetMode="External"/><Relationship Id="rId36" Type="http://schemas.openxmlformats.org/officeDocument/2006/relationships/hyperlink" Target="https://doi.org/10.1016/j.euroecorev.2025.105109" TargetMode="External"/><Relationship Id="rId49" Type="http://schemas.openxmlformats.org/officeDocument/2006/relationships/hyperlink" Target="https://doi.org/10.1016/0167-2231(93)90009-L" TargetMode="External"/><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oleObject" Target="embeddings/oleObject2.bin"/><Relationship Id="rId31" Type="http://schemas.openxmlformats.org/officeDocument/2006/relationships/hyperlink" Target="http://www.bis.org" TargetMode="External"/><Relationship Id="rId44" Type="http://schemas.openxmlformats.org/officeDocument/2006/relationships/hyperlink" Target="https://doi.org/10.29259/jep.v20i2.18586" TargetMode="External"/><Relationship Id="rId52" Type="http://schemas.openxmlformats.org/officeDocument/2006/relationships/header" Target="header4.xml"/><Relationship Id="rId60"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wahyuindahsari@dosen.pancabudi.ac.id" TargetMode="External"/><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hyperlink" Target="https://doi.org/10.1016/j.jimonfin.2024.103199" TargetMode="External"/><Relationship Id="rId30" Type="http://schemas.openxmlformats.org/officeDocument/2006/relationships/hyperlink" Target="https://doi.org/10.1162/003355302320935043" TargetMode="External"/><Relationship Id="rId35" Type="http://schemas.openxmlformats.org/officeDocument/2006/relationships/hyperlink" Target="http://www.bis.org" TargetMode="External"/><Relationship Id="rId43" Type="http://schemas.openxmlformats.org/officeDocument/2006/relationships/hyperlink" Target="https://doi.org/10.1111/j.1468-0335.1958.tb00003.x" TargetMode="External"/><Relationship Id="rId48" Type="http://schemas.openxmlformats.org/officeDocument/2006/relationships/hyperlink" Target="https://doi.org/10.20885/jkek.vol1.iss1.art8" TargetMode="External"/><Relationship Id="rId56" Type="http://schemas.openxmlformats.org/officeDocument/2006/relationships/footer" Target="footer6.xml"/><Relationship Id="rId64"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hyperlink" Target="http://www.bis.org" TargetMode="External"/><Relationship Id="rId38" Type="http://schemas.openxmlformats.org/officeDocument/2006/relationships/hyperlink" Target="http://www.imf.org" TargetMode="External"/><Relationship Id="rId46" Type="http://schemas.openxmlformats.org/officeDocument/2006/relationships/hyperlink" Target="https://doi.org/10.1016/j.frl.2024.105406" TargetMode="External"/><Relationship Id="rId59"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A6FAD5EF-BFDF-452D-900C-4E9ED4BD5459}"/>
      </w:docPartPr>
      <w:docPartBody>
        <w:p w:rsidR="00E37A57" w:rsidRDefault="00543A20">
          <w:r w:rsidRPr="007A42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Myriad Pro Light">
    <w:charset w:val="00"/>
    <w:family w:val="swiss"/>
    <w:pitch w:val="default"/>
    <w:sig w:usb0="20000287"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20"/>
    <w:rsid w:val="00050F84"/>
    <w:rsid w:val="00225782"/>
    <w:rsid w:val="00532D0B"/>
    <w:rsid w:val="00543A20"/>
    <w:rsid w:val="00571B06"/>
    <w:rsid w:val="005F147E"/>
    <w:rsid w:val="007A3D9E"/>
    <w:rsid w:val="00994877"/>
    <w:rsid w:val="009C1EF2"/>
    <w:rsid w:val="009D5E88"/>
    <w:rsid w:val="009E3D99"/>
    <w:rsid w:val="00A14AB8"/>
    <w:rsid w:val="00A255B8"/>
    <w:rsid w:val="00A40E12"/>
    <w:rsid w:val="00B55EC9"/>
    <w:rsid w:val="00B83DAE"/>
    <w:rsid w:val="00D44E5F"/>
    <w:rsid w:val="00E3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43A20"/>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43A2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77ED5F-B2B5-49ED-8153-109CD2D6A12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1987213605"/>
    <we:property name="MENDELEY_CITATIONS" value="[{&quot;citationID&quot;:&quot;MENDELEY_CITATION_2a6939bc-83b3-40ea-a389-c9ba47262b03&quot;,&quot;properties&quot;:{&quot;noteIndex&quot;:0},&quot;isEdited&quot;:false,&quot;manualOverride&quot;:{&quot;isManuallyOverridden&quot;:false,&quot;citeprocText&quot;:&quot;(IMF, 2022)&quot;,&quot;manualOverrideText&quot;:&quot;&quot;},&quot;citationItems&quot;:[{&quot;id&quot;:&quot;03a3bfd0-c7ad-385c-bee3-043e5ff86698&quot;,&quot;itemData&quot;:{&quot;type&quot;:&quot;report&quot;,&quot;id&quot;:&quot;03a3bfd0-c7ad-385c-bee3-043e5ff86698&quot;,&quot;title&quot;:&quot;GLOBAL FINANCIAL STABILITY REPORT Navigating the High-Inflation Environment&quot;,&quot;author&quot;:[{&quot;family&quot;:&quot;IMF&quot;,&quot;given&quot;:&quot;&quot;,&quot;parse-names&quot;:false,&quot;dropping-particle&quot;:&quot;&quot;,&quot;non-dropping-particle&quot;:&quot;&quot;}],&quot;issued&quot;:{&quot;date-parts&quot;:[[2022,10]]},&quot;container-title-short&quot;:&quot;&quot;},&quot;isTemporary&quot;:false}],&quot;citationTag&quot;:&quot;MENDELEY_CITATION_v3_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&quot;},{&quot;citationID&quot;:&quot;MENDELEY_CITATION_c9ea5922-4d70-48d5-8642-81feffd05e81&quot;,&quot;properties&quot;:{&quot;noteIndex&quot;:0},&quot;isEdited&quot;:false,&quot;manualOverride&quot;:{&quot;isManuallyOverridden&quot;:false,&quot;citeprocText&quot;:&quot;(Cornelli et al., 2024)&quot;,&quot;manualOverrideText&quot;:&quot;&quot;},&quot;citationItems&quot;:[{&quot;id&quot;:&quot;61120f87-7c9f-37a7-9751-c7593599377f&quot;,&quot;itemData&quot;:{&quot;type&quot;:&quot;report&quot;,&quot;id&quot;:&quot;61120f87-7c9f-37a7-9751-c7593599377f&quot;,&quot;title&quot;:&quot;BIS Working Papers No 1190 CEO turnover risk and firm environmental performance&quot;,&quot;author&quot;:[{&quot;family&quot;:&quot;Cornelli&quot;,&quot;given&quot;:&quot;Giulio&quot;,&quot;parse-names&quot;:false,&quot;dropping-particle&quot;:&quot;&quot;,&quot;non-dropping-particle&quot;:&quot;&quot;},{&quot;family&quot;:&quot;Erdem&quot;,&quot;given&quot;:&quot;Magdalena&quot;,&quot;parse-names&quot;:false,&quot;dropping-particle&quot;:&quot;&quot;,&quot;non-dropping-particle&quot;:&quot;&quot;},{&quot;family&quot;:&quot;Zakrajšek&quot;,&quot;given&quot;:&quot;Egon&quot;,&quot;parse-names&quot;:false,&quot;dropping-particle&quot;:&quot;&quot;,&quot;non-dropping-particle&quot;:&quot;&quot;}],&quot;URL&quot;:&quot;www.bis.org&quot;,&quot;issued&quot;:{&quot;date-parts&quot;:[[2024]]},&quot;container-title-short&quot;:&quot;&quot;},&quot;isTemporary&quot;:false}],&quot;citationTag&quot;:&quot;MENDELEY_CITATION_v3_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&quot;},{&quot;citationID&quot;:&quot;MENDELEY_CITATION_3bda9127-98ef-4430-afa7-fc2d951efde7&quot;,&quot;properties&quot;:{&quot;noteIndex&quot;:0},&quot;isEdited&quot;:false,&quot;manualOverride&quot;:{&quot;isManuallyOverridden&quot;:false,&quot;citeprocText&quot;:&quot;(Bank Indonesia, 2024)&quot;,&quot;manualOverrideText&quot;:&quot;&quot;},&quot;citationItems&quot;:[{&quot;id&quot;:&quot;e96fc914-1bfb-3738-8155-dab53c657fb2&quot;,&quot;itemData&quot;:{&quot;type&quot;:&quot;article-journal&quot;,&quot;id&quot;:&quot;e96fc914-1bfb-3738-8155-dab53c657fb2&quot;,&quot;title&quot;:&quot;Kajian Stabilitas Keuangan&quot;,&quot;author&quot;:[{&quot;family&quot;:&quot;Bank Indonesia&quot;,&quot;given&quot;:&quot;&quot;,&quot;parse-names&quot;:false,&quot;dropping-particle&quot;:&quot;&quot;,&quot;non-dropping-particle&quot;:&quot;&quot;}],&quot;issued&quot;:{&quot;date-parts&quot;:[[2024,9]]},&quot;issue&quot;:&quot;43&quot;,&quot;container-title-short&quot;:&quot;&quot;},&quot;isTemporary&quot;:false}],&quot;citationTag&quot;:&quot;MENDELEY_CITATION_v3_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&quot;},{&quot;citationID&quot;:&quot;MENDELEY_CITATION_50544121-405f-402b-be0f-5af17e7ccd03&quot;,&quot;properties&quot;:{&quot;noteIndex&quot;:0},&quot;isEdited&quot;:false,&quot;manualOverride&quot;:{&quot;isManuallyOverridden&quot;:false,&quot;citeprocText&quot;:&quot;(Galati &amp;#38; Moessner, 2011)&quot;,&quot;manualOverrideText&quot;:&quot;&quot;},&quot;citationItems&quot;:[{&quot;id&quot;:&quot;e429983f-e816-32f0-b592-696ab5fbe6cf&quot;,&quot;itemData&quot;:{&quot;type&quot;:&quot;report&quot;,&quot;id&quot;:&quot;e429983f-e816-32f0-b592-696ab5fbe6cf&quot;,&quot;title&quot;:&quot;BIS Working Papers Macroprudential policy-a literature review&quot;,&quot;author&quot;:[{&quot;family&quot;:&quot;Galati&quot;,&quot;given&quot;:&quot;Gabriele&quot;,&quot;parse-names&quot;:false,&quot;dropping-particle&quot;:&quot;&quot;,&quot;non-dropping-particle&quot;:&quot;&quot;},{&quot;family&quot;:&quot;Moessner&quot;,&quot;given&quot;:&quot;Richhild&quot;,&quot;parse-names&quot;:false,&quot;dropping-particle&quot;:&quot;&quot;,&quot;non-dropping-particle&quot;:&quot;&quot;}],&quot;URL&quot;:&quot;www.bis.org&quot;,&quot;issued&quot;:{&quot;date-parts&quot;:[[2011]]},&quot;container-title-short&quot;:&quot;&quot;},&quot;isTemporary&quot;:false}],&quot;citationTag&quot;:&quot;MENDELEY_CITATION_v3_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&quot;},{&quot;citationID&quot;:&quot;MENDELEY_CITATION_456076db-9c64-4f4c-8b7a-964efcb6d040&quot;,&quot;properties&quot;:{&quot;noteIndex&quot;:0},&quot;isEdited&quot;:false,&quot;manualOverride&quot;:{&quot;isManuallyOverridden&quot;:false,&quot;citeprocText&quot;:&quot;(Chen et al., 2023)&quot;,&quot;manualOverrideText&quot;:&quot;&quot;},&quot;citationItems&quot;:[{&quot;id&quot;:&quot;be417ce0-3001-311b-9cf2-8652003a3f7a&quot;,&quot;itemData&quot;:{&quot;type&quot;:&quot;report&quot;,&quot;id&quot;:&quot;be417ce0-3001-311b-9cf2-8652003a3f7a&quot;,&quot;title&quot;:&quot;Can Fiscal Consolidation help Central Banks’ Fight Inflation?, WP/23/260, December 2023&quot;,&quot;author&quot;:[{&quot;family&quot;:&quot;Chen&quot;,&quot;given&quot;:&quot;Jiaqian&quot;,&quot;parse-names&quot;:false,&quot;dropping-particle&quot;:&quot;&quot;,&quot;non-dropping-particle&quot;:&quot;&quot;},{&quot;family&quot;:&quot;Dabla-Norris&quot;,&quot;given&quot;:&quot;Era&quot;,&quot;parse-names&quot;:false,&quot;dropping-particle&quot;:&quot;&quot;,&quot;non-dropping-particle&quot;:&quot;&quot;},{&quot;family&quot;:&quot;Goncalves&quot;,&quot;given&quot;:&quot;Carlos&quot;,&quot;parse-names&quot;:false,&quot;dropping-particle&quot;:&quot;&quot;,&quot;non-dropping-particle&quot;:&quot;&quot;},{&quot;family&quot;:&quot;Jakab&quot;,&quot;given&quot;:&quot;Zoltan Matyas&quot;,&quot;parse-names&quot;:false,&quot;dropping-particle&quot;:&quot;&quot;,&quot;non-dropping-particle&quot;:&quot;&quot;},{&quot;family&quot;:&quot;Lindé&quot;,&quot;given&quot;:&quot;Jesper&quot;,&quot;parse-names&quot;:false,&quot;dropping-particle&quot;:&quot;&quot;,&quot;non-dropping-particle&quot;:&quot;&quot;}],&quot;issued&quot;:{&quot;date-parts&quot;:[[2023]]},&quot;abstract&quot;:&quot;This paper argues that a tighter fiscal policy stance can meaningfully support central banks in fighting inflation in both advanced and emerging market economies. While the standard textbook result suggest that monetary policy is much more effective than fiscal policy in battling inflation in open economies due to the exchange rate channel, we show that a tigher fiscal stance is notably more effective in the current situation. This is so because when many countries currently need to tighten the policy stance simultanously, the exchange rate channel does not provide monetary policy with an edge over fiscal policy. We also show that fiscal consolidation can be helpful in small open emerging markets and developming economies by reaffirming their commitment to price stability, and by putting the fiscal house in order which reduces risk premiums and strenghtens the currency. Furthermore, we show that spillovers from major economies can be more adverse from tigher monetary policy. By applying a two-agent New Keynesian modelling framework with unconstrained and hand-to-mouth households, we show that any adverse effects of tighter fiscal policy (relative to tighter monetary policy) on consumption inequality can be handled with a combination of general spending cuts and targeted transfers to vulnerable households.&quot;,&quot;container-title-short&quot;:&quot;&quot;},&quot;isTemporary&quot;:false}],&quot;citationTag&quot;:&quot;MENDELEY_CITATION_v3_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&quot;},{&quot;citationID&quot;:&quot;MENDELEY_CITATION_540dcda5-8b94-4192-9eac-b4e135e0c376&quot;,&quot;properties&quot;:{&quot;noteIndex&quot;:0},&quot;isEdited&quot;:false,&quot;manualOverride&quot;:{&quot;isManuallyOverridden&quot;:false,&quot;citeprocText&quot;:&quot;(Banerjee et al., 2023)&quot;,&quot;manualOverrideText&quot;:&quot;&quot;},&quot;citationItems&quot;:[{&quot;id&quot;:&quot;001ee03b-69a6-3a41-b818-c3cf1652c240&quot;,&quot;itemData&quot;:{&quot;type&quot;:&quot;book&quot;,&quot;id&quot;:&quot;001ee03b-69a6-3a41-b818-c3cf1652c240&quot;,&quot;title&quot;:&quot;BIS Bulletin No 81 Interest rate risk of non-financial firms: who hedges and does it help?&quot;,&quot;author&quot;:[{&quot;family&quot;:&quot;Banerjee&quot;,&quot;given&quot;:&quot;Ryan&quot;,&quot;parse-names&quot;:false,&quot;dropping-particle&quot;:&quot;&quot;,&quot;non-dropping-particle&quot;:&quot;&quot;},{&quot;family&quot;:&quot;Caballero&quot;,&quot;given&quot;:&quot;Julián&quot;,&quot;parse-names&quot;:false,&quot;dropping-particle&quot;:&quot;&quot;,&quot;non-dropping-particle&quot;:&quot;&quot;},{&quot;family&quot;:&quot;Kharroubi&quot;,&quot;given&quot;:&quot;Enisse&quot;,&quot;parse-names&quot;:false,&quot;dropping-particle&quot;:&quot;&quot;,&quot;non-dropping-particle&quot;:&quot;&quot;},{&quot;family&quot;:&quot;Spigt&quot;,&quot;given&quot;:&quot;Renée&quot;,&quot;parse-names&quot;:false,&quot;dropping-particle&quot;:&quot;&quot;,&quot;non-dropping-particle&quot;:&quot;&quot;},{&quot;family&quot;:&quot;Zakrajšek&quot;,&quot;given&quot;:&quot;Egon&quot;,&quot;parse-names&quot;:false,&quot;dropping-particle&quot;:&quot;&quot;,&quot;non-dropping-particle&quot;:&quot;&quot;}],&quot;ISBN&quot;:&quot;9789292597306&quot;,&quot;URL&quot;:&quot;www.bis.org&quot;,&quot;issued&quot;:{&quot;date-parts&quot;:[[2023]]},&quot;container-title-short&quot;:&quot;&quot;},&quot;isTemporary&quot;:false}],&quot;citationTag&quot;:&quot;MENDELEY_CITATION_v3_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&quot;},{&quot;citationID&quot;:&quot;MENDELEY_CITATION_9977c50d-b487-4ed0-b367-30ce9655e358&quot;,&quot;properties&quot;:{&quot;noteIndex&quot;:0},&quot;isEdited&quot;:false,&quot;manualOverride&quot;:{&quot;isManuallyOverridden&quot;:false,&quot;citeprocText&quot;:&quot;(Pravitasari &amp;#38; Insukindro, 2023)&quot;,&quot;manualOverrideText&quot;:&quot;&quot;},&quot;citationItems&quot;:[{&quot;id&quot;:&quot;bda7df1e-8e34-310a-9aec-e1f7a618b1e0&quot;,&quot;itemData&quot;:{&quot;type&quot;:&quot;article-journal&quot;,&quot;id&quot;:&quot;bda7df1e-8e34-310a-9aec-e1f7a618b1e0&quot;,&quot;title&quot;:&quot;The Impact of Fiscal-Monetary Policy Interaction on the Indonesian Economy&quot;,&quot;author&quot;:[{&quot;family&quot;:&quot;Pravitasari&quot;,&quot;given&quot;:&quot;Chairani Fadhila&quot;,&quot;parse-names&quot;:false,&quot;dropping-particle&quot;:&quot;&quot;,&quot;non-dropping-particle&quot;:&quot;&quot;},{&quot;family&quot;:&quot;Insukindro&quot;,&quot;given&quot;:&quot;Insukindro&quot;,&quot;parse-names&quot;:false,&quot;dropping-particle&quot;:&quot;&quot;,&quot;non-dropping-particle&quot;:&quot;&quot;}],&quot;container-title&quot;:&quot;Jurnal Ekonomi Pembangunan&quot;,&quot;DOI&quot;:&quot;10.29259/jep.v20i2.18586&quot;,&quot;ISSN&quot;:&quot;1829-5843&quot;,&quot;issued&quot;:{&quot;date-parts&quot;:[[2023,1,15]]},&quot;page&quot;:&quot;159-172&quot;,&quot;abstract&quot;:&quot;This study seeks to examine the interactions between fiscal and monetary policies and their impact on output and inflation in Indonesia from 2003:4 to 2018:4 using Structural Vector Autoregression (SVAR). It is important to investigate the coordination between both because overall macroeconomic policy framework requires a close coordination between monetary and financial policies. The variables utilized are government spending, debt, output gap, tax, inflation, interest rate, and exchange rate obtained from the Indonesian Ministry of Finance, the Indonesian Statistics, and Bank of Indonesia. Government spending as a proxy for fiscal policy and interest rate as a proxy for monetary policy have a strategic complement relationship, whereas tax revenue as a proxy for fiscal policy and interest rate as a proxy for monetary policy have a strategic substitutes relationship.&quot;,&quot;publisher&quot;:&quot;Faculty of Economics, Universitas Sriwijaya&quot;,&quot;issue&quot;:&quot;2&quot;,&quot;volume&quot;:&quot;20&quot;,&quot;container-title-short&quot;:&quot;&quot;},&quot;isTemporary&quot;:false}],&quot;citationTag&quot;:&quot;MENDELEY_CITATION_v3_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&quot;},{&quot;citationID&quot;:&quot;MENDELEY_CITATION_de998a37-2b97-4681-827f-74f91053b650&quot;,&quot;properties&quot;:{&quot;noteIndex&quot;:0},&quot;isEdited&quot;:false,&quot;manualOverride&quot;:{&quot;isManuallyOverridden&quot;:false,&quot;citeprocText&quot;:&quot;(Aizenman et al., 2024)&quot;,&quot;manualOverrideText&quot;:&quot;&quot;},&quot;citationItems&quot;:[{&quot;id&quot;:&quot;336af716-b846-3d07-b750-650b02aa54ea&quot;,&quot;itemData&quot;:{&quot;type&quot;:&quot;article&quot;,&quot;id&quot;:&quot;336af716-b846-3d07-b750-650b02aa54ea&quot;,&quot;title&quot;:&quot;Monetary and fiscal policy challenges in emerging markets amid elevated uncertainty&quot;,&quot;author&quot;:[{&quot;family&quot;:&quot;Aizenman&quot;,&quot;given&quot;:&quot;Joshua&quot;,&quot;parse-names&quot;:false,&quot;dropping-particle&quot;:&quot;&quot;,&quot;non-dropping-particle&quot;:&quot;&quot;},{&quot;family&quot;:&quot;Beirne&quot;,&quot;given&quot;:&quot;John&quot;,&quot;parse-names&quot;:false,&quot;dropping-particle&quot;:&quot;&quot;,&quot;non-dropping-particle&quot;:&quot;&quot;},{&quot;family&quot;:&quot;Chinn&quot;,&quot;given&quot;:&quot;Menzie D.&quot;,&quot;parse-names&quot;:false,&quot;dropping-particle&quot;:&quot;&quot;,&quot;non-dropping-particle&quot;:&quot;&quot;},{&quot;family&quot;:&quot;Jinjarak&quot;,&quot;given&quot;:&quot;Yothin&quot;,&quot;parse-names&quot;:false,&quot;dropping-particle&quot;:&quot;&quot;,&quot;non-dropping-particle&quot;:&quot;&quot;},{&quot;family&quot;:&quot;Park&quot;,&quot;given&quot;:&quot;Donghyun&quot;,&quot;parse-names&quot;:false,&quot;dropping-particle&quot;:&quot;&quot;,&quot;non-dropping-particle&quot;:&quot;&quot;}],&quot;container-title&quot;:&quot;Journal of International Money and Finance&quot;,&quot;container-title-short&quot;:&quot;J. Int. Money Finance&quot;,&quot;DOI&quot;:&quot;10.1016/j.jimonfin.2024.103199&quot;,&quot;ISSN&quot;:&quot;02615606&quot;,&quot;issued&quot;:{&quot;date-parts&quot;:[[2024,11,1]]},&quot;abstract&quot;:&quot;This editorial discusses papers published in a special issue that focuses on monetary and fiscal policy effectiveness and challenges in emerging economies, particularly during periods of amplified global risk aversion and financial market volatility.&quot;,&quot;publisher&quot;:&quot;Elsevier Ltd&quot;,&quot;volume&quot;:&quot;149&quot;},&quot;isTemporary&quot;:false}],&quot;citationTag&quot;:&quot;MENDELEY_CITATION_v3_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&quot;},{&quot;citationID&quot;:&quot;MENDELEY_CITATION_c30b5eae-7dad-466b-9f0d-7e4014feca85&quot;,&quot;properties&quot;:{&quot;noteIndex&quot;:0},&quot;isEdited&quot;:false,&quot;manualOverride&quot;:{&quot;isManuallyOverridden&quot;:false,&quot;citeprocText&quot;:&quot;(ASEAN+3, 2025)&quot;,&quot;manualOverrideText&quot;:&quot;&quot;},&quot;citationItems&quot;:[{&quot;id&quot;:&quot;218252ff-ee5e-3878-8289-f3c140d4a23a&quot;,&quot;itemData&quot;:{&quot;type&quot;:&quot;report&quot;,&quot;id&quot;:&quot;218252ff-ee5e-3878-8289-f3c140d4a23a&quot;,&quot;title&quot;:&quot;Strengthening Policy Synergy for Indonesia’s Stability and Growth - ASEAN+3 Macroeconomic Research Office - AMRO ASIA&quot;,&quot;author&quot;:[{&quot;family&quot;:&quot;ASEAN+3&quot;,&quot;given&quot;:&quot;&quot;,&quot;parse-names&quot;:false,&quot;dropping-particle&quot;:&quot;&quot;,&quot;non-dropping-particle&quot;:&quot;&quot;}],&quot;issued&quot;:{&quot;date-parts&quot;:[[2025,6,20]]},&quot;container-title-short&quot;:&quot;&quot;},&quot;isTemporary&quot;:false}],&quot;citationTag&quot;:&quot;MENDELEY_CITATION_v3_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&quot;},{&quot;citationID&quot;:&quot;MENDELEY_CITATION_74ff6d4b-0fa9-422d-ad06-77b6bc585401&quot;,&quot;properties&quot;:{&quot;noteIndex&quot;:0},&quot;isEdited&quot;:false,&quot;manualOverride&quot;:{&quot;isManuallyOverridden&quot;:false,&quot;citeprocText&quot;:&quot;(Checo et al., 2024)&quot;,&quot;manualOverrideText&quot;:&quot;&quot;},&quot;citationItems&quot;:[{&quot;id&quot;:&quot;81b3fbe3-9365-34af-887a-6aa4ebcd1da7&quot;,&quot;itemData&quot;:{&quot;type&quot;:&quot;report&quot;,&quot;id&quot;:&quot;81b3fbe3-9365-34af-887a-6aa4ebcd1da7&quot;,&quot;title&quot;:&quot;Monetary policy transmission in emerging markets: proverbial concerns, novel evidence&quot;,&quot;author&quot;:[{&quot;family&quot;:&quot;Checo&quot;,&quot;given&quot;:&quot;Ariadne&quot;,&quot;parse-names&quot;:false,&quot;dropping-particle&quot;:&quot;&quot;,&quot;non-dropping-particle&quot;:&quot;&quot;},{&quot;family&quot;:&quot;Grigoli&quot;,&quot;given&quot;:&quot;Francesco&quot;,&quot;parse-names&quot;:false,&quot;dropping-particle&quot;:&quot;&quot;,&quot;non-dropping-particle&quot;:&quot;&quot;},{&quot;family&quot;:&quot;Sandri&quot;,&quot;given&quot;:&quot;Damiano&quot;,&quot;parse-names&quot;:false,&quot;dropping-particle&quot;:&quot;&quot;,&quot;non-dropping-particle&quot;:&quot;&quot;}],&quot;URL&quot;:&quot;www.bis.org&quot;,&quot;issued&quot;:{&quot;date-parts&quot;:[[2024]]},&quot;container-title-short&quot;:&quot;&quot;},&quot;isTemporary&quot;:false}],&quot;citationTag&quot;:&quot;MENDELEY_CITATION_v3_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&quot;},{&quot;citationID&quot;:&quot;MENDELEY_CITATION_8310223d-d142-42a1-9339-4acedf7eb2fd&quot;,&quot;properties&quot;:{&quot;noteIndex&quot;:0},&quot;isEdited&quot;:false,&quot;manualOverride&quot;:{&quot;isManuallyOverridden&quot;:false,&quot;citeprocText&quot;:&quot;(Gargiulo et al., 2025)&quot;,&quot;manualOverrideText&quot;:&quot;&quot;},&quot;citationItems&quot;:[{&quot;id&quot;:&quot;e6bef22c-40d2-3f79-a55e-d1918c5ac19b&quot;,&quot;itemData&quot;:{&quot;type&quot;:&quot;article-journal&quot;,&quot;id&quot;:&quot;e6bef22c-40d2-3f79-a55e-d1918c5ac19b&quot;,&quot;title&quot;:&quot;Monetary policy across inflation regimes&quot;,&quot;author&quot;:[{&quot;family&quot;:&quot;Gargiulo&quot;,&quot;given&quot;:&quot;Valeria&quot;,&quot;parse-names&quot;:false,&quot;dropping-particle&quot;:&quot;&quot;,&quot;non-dropping-particle&quot;:&quot;&quot;},{&quot;family&quot;:&quot;Matthes&quot;,&quot;given&quot;:&quot;Christian&quot;,&quot;parse-names&quot;:false,&quot;dropping-particle&quot;:&quot;&quot;,&quot;non-dropping-particle&quot;:&quot;&quot;},{&quot;family&quot;:&quot;Petrova&quot;,&quot;given&quot;:&quot;Katerina&quot;,&quot;parse-names&quot;:false,&quot;dropping-particle&quot;:&quot;&quot;,&quot;non-dropping-particle&quot;:&quot;&quot;}],&quot;container-title&quot;:&quot;European Economic Review&quot;,&quot;container-title-short&quot;:&quot;Eur. Econ. Rev.&quot;,&quot;DOI&quot;:&quot;10.1016/j.euroecorev.2025.105109&quot;,&quot;ISSN&quot;:&quot;00142921&quot;,&quot;issued&quot;:{&quot;date-parts&quot;:[[2025,9,1]]},&quot;abstract&quot;:&quot;Does the effect of monetary policy depend on the prevailing level of inflation? In order to answer this question, we construct a parsimonious nonlinear time series model that allows for inflation regimes. We find that the effects of monetary policy are markedly different when year-over-year inflation exceeds 5.5%. Below this threshold, changes in monetary policy have a short-lived effect on prices, but no effect on the unemployment rate, giving a potential explanation for the recent “soft-landing” in the United States. Above this threshold, the effects of monetary policy surprises on both inflation and unemployment can be larger and longer lasting.&quot;,&quot;publisher&quot;:&quot;Elsevier B.V.&quot;,&quot;volume&quot;:&quot;178&quot;},&quot;isTemporary&quot;:false}],&quot;citationTag&quot;:&quot;MENDELEY_CITATION_v3_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&quot;},{&quot;citationID&quot;:&quot;MENDELEY_CITATION_865b402a-fac7-4cc0-9853-61dc9d09d6e4&quot;,&quot;properties&quot;:{&quot;noteIndex&quot;:0},&quot;isEdited&quot;:false,&quot;manualOverride&quot;:{&quot;isManuallyOverridden&quot;:false,&quot;citeprocText&quot;:&quot;(Aizenman et al., 2024)&quot;,&quot;manualOverrideText&quot;:&quot;&quot;},&quot;citationItems&quot;:[{&quot;id&quot;:&quot;336af716-b846-3d07-b750-650b02aa54ea&quot;,&quot;itemData&quot;:{&quot;type&quot;:&quot;article&quot;,&quot;id&quot;:&quot;336af716-b846-3d07-b750-650b02aa54ea&quot;,&quot;title&quot;:&quot;Monetary and fiscal policy challenges in emerging markets amid elevated uncertainty&quot;,&quot;author&quot;:[{&quot;family&quot;:&quot;Aizenman&quot;,&quot;given&quot;:&quot;Joshua&quot;,&quot;parse-names&quot;:false,&quot;dropping-particle&quot;:&quot;&quot;,&quot;non-dropping-particle&quot;:&quot;&quot;},{&quot;family&quot;:&quot;Beirne&quot;,&quot;given&quot;:&quot;John&quot;,&quot;parse-names&quot;:false,&quot;dropping-particle&quot;:&quot;&quot;,&quot;non-dropping-particle&quot;:&quot;&quot;},{&quot;family&quot;:&quot;Chinn&quot;,&quot;given&quot;:&quot;Menzie D.&quot;,&quot;parse-names&quot;:false,&quot;dropping-particle&quot;:&quot;&quot;,&quot;non-dropping-particle&quot;:&quot;&quot;},{&quot;family&quot;:&quot;Jinjarak&quot;,&quot;given&quot;:&quot;Yothin&quot;,&quot;parse-names&quot;:false,&quot;dropping-particle&quot;:&quot;&quot;,&quot;non-dropping-particle&quot;:&quot;&quot;},{&quot;family&quot;:&quot;Park&quot;,&quot;given&quot;:&quot;Donghyun&quot;,&quot;parse-names&quot;:false,&quot;dropping-particle&quot;:&quot;&quot;,&quot;non-dropping-particle&quot;:&quot;&quot;}],&quot;container-title&quot;:&quot;Journal of International Money and Finance&quot;,&quot;container-title-short&quot;:&quot;J. Int. Money Finance&quot;,&quot;DOI&quot;:&quot;10.1016/j.jimonfin.2024.103199&quot;,&quot;ISSN&quot;:&quot;02615606&quot;,&quot;issued&quot;:{&quot;date-parts&quot;:[[2024,11,1]]},&quot;abstract&quot;:&quot;This editorial discusses papers published in a special issue that focuses on monetary and fiscal policy effectiveness and challenges in emerging economies, particularly during periods of amplified global risk aversion and financial market volatility.&quot;,&quot;publisher&quot;:&quot;Elsevier Ltd&quot;,&quot;volume&quot;:&quot;149&quot;},&quot;isTemporary&quot;:false}],&quot;citationTag&quot;:&quot;MENDELEY_CITATION_v3_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&quot;},{&quot;citationID&quot;:&quot;MENDELEY_CITATION_89b5afa6-8af9-488d-876e-6431fd4f6a19&quot;,&quot;properties&quot;:{&quot;noteIndex&quot;:0},&quot;isEdited&quot;:false,&quot;manualOverride&quot;:{&quot;isManuallyOverridden&quot;:false,&quot;citeprocText&quot;:&quot;(Milton Friedman et al., 1968)&quot;,&quot;manualOverrideText&quot;:&quot;&quot;},&quot;citationItems&quot;:[{&quot;id&quot;:&quot;9dae61b1-8379-3de7-beaa-b4307ece1683&quot;,&quot;itemData&quot;:{&quot;type&quot;:&quot;article-journal&quot;,&quot;id&quot;:&quot;9dae61b1-8379-3de7-beaa-b4307ece1683&quot;,&quot;title&quot;:&quot;THE ROLE OF MONETARY POLICY*&quot;,&quot;author&quot;:[{&quot;family&quot;:&quot;Milton Friedman&quot;,&quot;given&quot;:&quot;By&quot;,&quot;parse-names&quot;:false,&quot;dropping-particle&quot;:&quot;&quot;,&quot;non-dropping-particle&quot;:&quot;&quot;},{&quot;family&quot;:&quot;Alchian&quot;,&quot;given&quot;:&quot;Armen&quot;,&quot;parse-names&quot;:false,&quot;dropping-particle&quot;:&quot;&quot;,&quot;non-dropping-particle&quot;:&quot;&quot;},{&quot;family&quot;:&quot;Becker&quot;,&quot;given&quot;:&quot;Gary&quot;,&quot;parse-names&quot;:false,&quot;dropping-particle&quot;:&quot;&quot;,&quot;non-dropping-particle&quot;:&quot;&quot;},{&quot;family&quot;:&quot;Bronfenbrenner&quot;,&quot;given&quot;:&quot;Martin&quot;,&quot;parse-names&quot;:false,&quot;dropping-particle&quot;:&quot;&quot;,&quot;non-dropping-particle&quot;:&quot;&quot;},{&quot;family&quot;:&quot;Burns&quot;,&quot;given&quot;:&quot;Arthur F&quot;,&quot;parse-names&quot;:false,&quot;dropping-particle&quot;:&quot;&quot;,&quot;non-dropping-particle&quot;:&quot;&quot;},{&quot;family&quot;:&quot;Cagan&quot;,&quot;given&quot;:&quot;Phillip&quot;,&quot;parse-names&quot;:false,&quot;dropping-particle&quot;:&quot;&quot;,&quot;non-dropping-particle&quot;:&quot;&quot;},{&quot;family&quot;:&quot;Friedman&quot;,&quot;given&quot;:&quot;David D&quot;,&quot;parse-names&quot;:false,&quot;dropping-particle&quot;:&quot;&quot;,&quot;non-dropping-particle&quot;:&quot;&quot;},{&quot;family&quot;:&quot;Harris&quot;,&quot;given&quot;:&quot;Lawrence&quot;,&quot;parse-names&quot;:false,&quot;dropping-particle&quot;:&quot;&quot;,&quot;non-dropping-particle&quot;:&quot;&quot;},{&quot;family&quot;:&quot;Johnson&quot;,&quot;given&quot;:&quot;Harry G&quot;,&quot;parse-names&quot;:false,&quot;dropping-particle&quot;:&quot;&quot;,&quot;non-dropping-particle&quot;:&quot;&quot;},{&quot;family&quot;:&quot;Jones&quot;,&quot;given&quot;:&quot;Homer&quot;,&quot;parse-names&quot;:false,&quot;dropping-particle&quot;:&quot;&quot;,&quot;non-dropping-particle&quot;:&quot;&quot;},{&quot;family&quot;:&quot;Jordan&quot;,&quot;given&quot;:&quot;Jerry&quot;,&quot;parse-names&quot;:false,&quot;dropping-particle&quot;:&quot;&quot;,&quot;non-dropping-particle&quot;:&quot;&quot;},{&quot;family&quot;:&quot;Meiselman&quot;,&quot;given&quot;:&quot;David&quot;,&quot;parse-names&quot;:false,&quot;dropping-particle&quot;:&quot;&quot;,&quot;non-dropping-particle&quot;:&quot;&quot;},{&quot;family&quot;:&quot;Meltzer&quot;,&quot;given&quot;:&quot;Allan H&quot;,&quot;parse-names&quot;:false,&quot;dropping-particle&quot;:&quot;&quot;,&quot;non-dropping-particle&quot;:&quot;&quot;},{&quot;family&quot;:&quot;Schultz&quot;,&quot;given&quot;:&quot;Theodore W&quot;,&quot;parse-names&quot;:false,&quot;dropping-particle&quot;:&quot;&quot;,&quot;non-dropping-particle&quot;:&quot;&quot;},{&quot;family&quot;:&quot;Schwartz&quot;,&quot;given&quot;:&quot;Anna J&quot;,&quot;parse-names&quot;:false,&quot;dropping-particle&quot;:&quot;&quot;,&quot;non-dropping-particle&quot;:&quot;&quot;},{&quot;family&quot;:&quot;Stein&quot;,&quot;given&quot;:&quot;Herbert&quot;,&quot;parse-names&quot;:false,&quot;dropping-particle&quot;:&quot;&quot;,&quot;non-dropping-particle&quot;:&quot;&quot;},{&quot;family&quot;:&quot;Stigler&quot;,&quot;given&quot;:&quot;George J&quot;,&quot;parse-names&quot;:false,&quot;dropping-particle&quot;:&quot;&quot;,&quot;non-dropping-particle&quot;:&quot;&quot;},{&quot;family&quot;:&quot;Tobin&quot;,&quot;given&quot;:&quot;James&quot;,&quot;parse-names&quot;:false,&quot;dropping-particle&quot;:&quot;&quot;,&quot;non-dropping-particle&quot;:&quot;&quot;}],&quot;issued&quot;:{&quot;date-parts&quot;:[[1968,3]]},&quot;abstract&quot;:&quot;There is wide agreement about the major goals of economic policy: high employment, stable prices, and rapid growth. There is less agreement that these goals are mutually compatible or, among those who regard them as incompatible, about the terms at which they can and should be substituted for one another. There is least agreement about the role that various instruments of policy can and should play in achieving the several goals. My topic for tonight is the role of one such instrument-monetary policy. What can it contribute? And how should it be conducted to contribute the most? Opinion on these questions has fluctuated widely. In the first flush of enthusiasm about the newly created Federal Reserve System, many observers attributed the relative stability of the 1920s to the System's capacity for fine tuning-to apply an apt modern term. It came to be widely believed that a new era had arrived in which business cycles had been rendered obsolete by advances in monetary technology. This opinion was shared by economist and layman alike, though, of course, there were some dissonant voices. The Great Contraction destroyed this naive attitude. Opinion swung to the other extreme. Monetary policy was a string. You could pull on it to stop inflation but you could not push on it to halt recession. You could lead a horse to water but you could not make him drink. Such theory by aphorism was soon replaced by Keynes' rigorous and sophisticated analysis. Keynes offered simultaneously an explanation for the presumed impotence of monetary policy to stem the depression, a nonmonetary interpretation of the depression, and an alternative to monetary policy&quot;,&quot;issue&quot;:&quot;1&quot;,&quot;volume&quot;:&quot;LVIII&quot;,&quot;container-title-short&quot;:&quot;&quot;},&quot;isTemporary&quot;:false}],&quot;citationTag&quot;:&quot;MENDELEY_CITATION_v3_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&quot;},{&quot;citationID&quot;:&quot;MENDELEY_CITATION_e7f412ee-2cae-43d1-86ff-da5319fa44d7&quot;,&quot;properties&quot;:{&quot;noteIndex&quot;:0},&quot;isEdited&quot;:false,&quot;manualOverride&quot;:{&quot;isManuallyOverridden&quot;:false,&quot;citeprocText&quot;:&quot;(IMF, 2024a)&quot;,&quot;manualOverrideText&quot;:&quot;&quot;},&quot;citationItems&quot;:[{&quot;id&quot;:&quot;c89d72c5-0b60-3b79-8a57-03bb4576f07f&quot;,&quot;itemData&quot;:{&quot;type&quot;:&quot;report&quot;,&quot;id&quot;:&quot;c89d72c5-0b60-3b79-8a57-03bb4576f07f&quot;,&quot;title&quot;:&quot;Indonesia: 2024 Article IV Consultation-Press Release; Staff Report; and Statement by the Executive Director for Indonesia; IMF Country Report No. 24/270; July 2, 2024&quot;,&quot;author&quot;:[{&quot;family&quot;:&quot;IMF&quot;,&quot;given&quot;:&quot;&quot;,&quot;parse-names&quot;:false,&quot;dropping-particle&quot;:&quot;&quot;,&quot;non-dropping-particle&quot;:&quot;&quot;}],&quot;URL&quot;:&quot;http://www.imf.org&quot;,&quot;issued&quot;:{&quot;date-parts&quot;:[[2024,8]]},&quot;container-title-short&quot;:&quot;&quot;},&quot;isTemporary&quot;:false}],&quot;citationTag&quot;:&quot;MENDELEY_CITATION_v3_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&quot;},{&quot;citationID&quot;:&quot;MENDELEY_CITATION_d62e0b6a-2ea2-4284-8f87-e39fd3e2a6d4&quot;,&quot;properties&quot;:{&quot;noteIndex&quot;:0},&quot;isEdited&quot;:false,&quot;manualOverride&quot;:{&quot;isManuallyOverridden&quot;:false,&quot;citeprocText&quot;:&quot;(Bolhuis et al., 2024)&quot;,&quot;manualOverrideText&quot;:&quot;&quot;},&quot;citationItems&quot;:[{&quot;id&quot;:&quot;f38a486f-ccf6-39f9-8141-0112011955de&quot;,&quot;itemData&quot;:{&quot;type&quot;:&quot;report&quot;,&quot;id&quot;:&quot;f38a486f-ccf6-39f9-8141-0112011955de&quot;,&quot;title&quot;:&quot;A New Dataset of High-Frequency Monetary Policy Shocks, WP/24/224, October 2024&quot;,&quot;author&quot;:[{&quot;family&quot;:&quot;Bolhuis&quot;,&quot;given&quot;:&quot;Marijn A&quot;,&quot;parse-names&quot;:false,&quot;dropping-particle&quot;:&quot;&quot;,&quot;non-dropping-particle&quot;:&quot;&quot;},{&quot;family&quot;:&quot;Das&quot;,&quot;given&quot;:&quot;Sonali&quot;,&quot;parse-names&quot;:false,&quot;dropping-particle&quot;:&quot;&quot;,&quot;non-dropping-particle&quot;:&quot;&quot;},{&quot;family&quot;:&quot;Yao&quot;,&quot;given&quot;:&quot;Bella&quot;,&quot;parse-names&quot;:false,&quot;dropping-particle&quot;:&quot;&quot;,&quot;non-dropping-particle&quot;:&quot;&quot;}],&quot;issued&quot;:{&quot;date-parts&quot;:[[2024]]},&quot;container-title-short&quot;:&quot;&quot;},&quot;isTemporary&quot;:false}],&quot;citationTag&quot;:&quot;MENDELEY_CITATION_v3_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&quot;},{&quot;citationID&quot;:&quot;MENDELEY_CITATION_005c3419-8d76-4081-9105-7e1592f160ce&quot;,&quot;properties&quot;:{&quot;noteIndex&quot;:0},&quot;isEdited&quot;:false,&quot;manualOverride&quot;:{&quot;isManuallyOverridden&quot;:false,&quot;citeprocText&quot;:&quot;(Crump et al., 2024)&quot;,&quot;manualOverrideText&quot;:&quot;&quot;},&quot;citationItems&quot;:[{&quot;id&quot;:&quot;0b31b92f-a659-365d-95b9-e71d6e1f5554&quot;,&quot;itemData&quot;:{&quot;type&quot;:&quot;article-journal&quot;,&quot;id&quot;:&quot;0b31b92f-a659-365d-95b9-e71d6e1f5554&quot;,&quot;title&quot;:&quot;The unemployment–inflation trade-off revisited: The Phillips curve in COVID times&quot;,&quot;author&quot;:[{&quot;family&quot;:&quot;Crump&quot;,&quot;given&quot;:&quot;Richard K.&quot;,&quot;parse-names&quot;:false,&quot;dropping-particle&quot;:&quot;&quot;,&quot;non-dropping-particle&quot;:&quot;&quot;},{&quot;family&quot;:&quot;Eusepi&quot;,&quot;given&quot;:&quot;Stefano&quot;,&quot;parse-names&quot;:false,&quot;dropping-particle&quot;:&quot;&quot;,&quot;non-dropping-particle&quot;:&quot;&quot;},{&quot;family&quot;:&quot;Giannoni&quot;,&quot;given&quot;:&quot;Marc&quot;,&quot;parse-names&quot;:false,&quot;dropping-particle&quot;:&quot;&quot;,&quot;non-dropping-particle&quot;:&quot;&quot;},{&quot;family&quot;:&quot;Şahin&quot;,&quot;given&quot;:&quot;Ayşegül&quot;,&quot;parse-names&quot;:false,&quot;dropping-particle&quot;:&quot;&quot;,&quot;non-dropping-particle&quot;:&quot;&quot;}],&quot;container-title&quot;:&quot;Journal of Monetary Economics&quot;,&quot;container-title-short&quot;:&quot;J. Monet. Econ.&quot;,&quot;DOI&quot;:&quot;10.1016/j.jmoneco.2024.103580&quot;,&quot;ISSN&quot;:&quot;03043932&quot;,&quot;issued&quot;:{&quot;date-parts&quot;:[[2024,7,1]]},&quot;abstract&quot;:&quot;Using a New Keynesian Phillips curve, we document the rapid and persistent increase in the natural rate of unemployment, ut∗, in the aftermath of the pandemic and characterize its implications for inflation dynamics. While the bulk of the inflation surge is attributed to temporary supply factors, we also find an important role for current and expected negative unemployment gaps. Through the lens of the model, the 2022–2023 disinflation was driven by the expectation that the unemployment gap will close through a progressive decline in ut∗ and a rise in the unemployment rate. This implies that convergence to long-run price stability depends, critically, on expectations about labor market tightness. Using a variety of cross-sectional data sources we provide corroborating evidence of unusually tight labor market conditions, consistent with our estimated rise in ut∗.&quot;,&quot;publisher&quot;:&quot;Elsevier B.V.&quot;,&quot;volume&quot;:&quot;145&quot;},&quot;isTemporary&quot;:false}],&quot;citationTag&quot;:&quot;MENDELEY_CITATION_v3_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&quot;},{&quot;citationID&quot;:&quot;MENDELEY_CITATION_e2cf6087-9ae9-4335-86e1-6e865771170b&quot;,&quot;properties&quot;:{&quot;noteIndex&quot;:0},&quot;isEdited&quot;:false,&quot;manualOverride&quot;:{&quot;isManuallyOverridden&quot;:false,&quot;citeprocText&quot;:&quot;(Phillips, 1958)&quot;,&quot;manualOverrideText&quot;:&quot;&quot;},&quot;citationItems&quot;:[{&quot;id&quot;:&quot;fb0d38b2-7cd7-381f-a586-18632b65202a&quot;,&quot;itemData&quot;:{&quot;type&quot;:&quot;article-journal&quot;,&quot;id&quot;:&quot;fb0d38b2-7cd7-381f-a586-18632b65202a&quot;,&quot;title&quot;:&quot;The Relation Between Unemployment and the Rate of Change of Money Wage Rates in the United Kingdom, 1861–19571&quot;,&quot;author&quot;:[{&quot;family&quot;:&quot;Phillips&quot;,&quot;given&quot;:&quot;A. W.&quot;,&quot;parse-names&quot;:false,&quot;dropping-particle&quot;:&quot;&quot;,&quot;non-dropping-particle&quot;:&quot;&quot;}],&quot;container-title&quot;:&quot;Economica&quot;,&quot;container-title-short&quot;:&quot;Economica&quot;,&quot;DOI&quot;:&quot;10.1111/j.1468-0335.1958.tb00003.x&quot;,&quot;ISSN&quot;:&quot;14680335&quot;,&quot;issued&quot;:{&quot;date-parts&quot;:[[1958]]},&quot;page&quot;:&quot;283-299&quot;,&quot;issue&quot;:&quot;100&quot;,&quot;volume&quot;:&quot;25&quot;},&quot;isTemporary&quot;:false}],&quot;citationTag&quot;:&quot;MENDELEY_CITATION_v3_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&quot;},{&quot;citationID&quot;:&quot;MENDELEY_CITATION_3593b9d3-f5ae-4ac2-850a-73875bc3b310&quot;,&quot;properties&quot;:{&quot;noteIndex&quot;:0},&quot;isEdited&quot;:false,&quot;manualOverride&quot;:{&quot;isManuallyOverridden&quot;:false,&quot;citeprocText&quot;:&quot;(Rant et al., 2024)&quot;,&quot;manualOverrideText&quot;:&quot;&quot;},&quot;citationItems&quot;:[{&quot;id&quot;:&quot;ffd7532c-6d3d-3364-ae27-549f6b1b6d59&quot;,&quot;itemData&quot;:{&quot;type&quot;:&quot;article-journal&quot;,&quot;id&quot;:&quot;ffd7532c-6d3d-3364-ae27-549f6b1b6d59&quot;,&quot;title&quot;:&quot;Macroeconomic impacts of monetary and fiscal policy in the euro area in times of shifting policies: A SVAR approach&quot;,&quot;author&quot;:[{&quot;family&quot;:&quot;Rant&quot;,&quot;given&quot;:&quot;Vasja&quot;,&quot;parse-names&quot;:false,&quot;dropping-particle&quot;:&quot;&quot;,&quot;non-dropping-particle&quot;:&quot;&quot;},{&quot;family&quot;:&quot;Puc&quot;,&quot;given&quot;:&quot;Anja&quot;,&quot;parse-names&quot;:false,&quot;dropping-particle&quot;:&quot;&quot;,&quot;non-dropping-particle&quot;:&quot;&quot;},{&quot;family&quot;:&quot;Čok&quot;,&quot;given&quot;:&quot;Mitja&quot;,&quot;parse-names&quot;:false,&quot;dropping-particle&quot;:&quot;&quot;,&quot;non-dropping-particle&quot;:&quot;&quot;},{&quot;family&quot;:&quot;Verbič&quot;,&quot;given&quot;:&quot;Miroslav&quot;,&quot;parse-names&quot;:false,&quot;dropping-particle&quot;:&quot;&quot;,&quot;non-dropping-particle&quot;:&quot;&quot;}],&quot;container-title&quot;:&quot;Finance Research Letters&quot;,&quot;container-title-short&quot;:&quot;Financ. Res. Lett.&quot;,&quot;DOI&quot;:&quot;10.1016/j.frl.2024.105406&quot;,&quot;ISSN&quot;:&quot;15446123&quot;,&quot;issued&quot;:{&quot;date-parts&quot;:[[2024,6,1]]},&quot;abstract&quot;:&quot;This paper analyses the impacts of monetary and fiscal policy of the euro area on output and inflation between 2005 and 2022 using a structural vector autoregressive (SVAR) approach. We employ three alternative indicators of monetary policy, alongside government spending and revenue as fiscal variables to estimate the effects across different subperiods. The findings reveal that monetary policy tightening produces a negative and delayed effect on both output and inflation, with the effects differing across alternative monetary policy indicators in terms of duration and magnitude. A fiscal revenue shock is found to be inflationary, whereas a fiscal spending shock initially has a negative effect on growth that later turns positive, but is short-lived. The effects of fiscal policy shocks are more substantial than the effects of monetary policy shocks. The results also suggest that the effects may differ across subperiods, depending on the nature and intensity of the policy shifts.&quot;,&quot;publisher&quot;:&quot;Elsevier Ltd&quot;,&quot;volume&quot;:&quot;64&quot;},&quot;isTemporary&quot;:false}],&quot;citationTag&quot;:&quot;MENDELEY_CITATION_v3_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&quot;},{&quot;citationID&quot;:&quot;MENDELEY_CITATION_12f463e5-8ccc-44b3-91c4-d80e1bf8715f&quot;,&quot;properties&quot;:{&quot;noteIndex&quot;:0},&quot;isEdited&quot;:false,&quot;manualOverride&quot;:{&quot;isManuallyOverridden&quot;:false,&quot;citeprocText&quot;:&quot;(Rizvi et al., 2024)&quot;,&quot;manualOverrideText&quot;:&quot;&quot;},&quot;citationItems&quot;:[{&quot;id&quot;:&quot;449eb540-b223-3f58-87f6-ed7f4b17b34b&quot;,&quot;itemData&quot;:{&quot;type&quot;:&quot;article-journal&quot;,&quot;id&quot;:&quot;449eb540-b223-3f58-87f6-ed7f4b17b34b&quot;,&quot;title&quot;:&quot;Demystifying COVID-19 policy actions: The case of inflation control in ASEAN&quot;,&quot;author&quot;:[{&quot;family&quot;:&quot;Rizvi&quot;,&quot;given&quot;:&quot;Syed Aun R.&quot;,&quot;parse-names&quot;:false,&quot;dropping-particle&quot;:&quot;&quot;,&quot;non-dropping-particle&quot;:&quot;&quot;},{&quot;family&quot;:&quot;Sharma&quot;,&quot;given&quot;:&quot;Susan Sunila&quot;,&quot;parse-names&quot;:false,&quot;dropping-particle&quot;:&quot;&quot;,&quot;non-dropping-particle&quot;:&quot;&quot;},{&quot;family&quot;:&quot;Juhro&quot;,&quot;given&quot;:&quot;Solikin M.&quot;,&quot;parse-names&quot;:false,&quot;dropping-particle&quot;:&quot;&quot;,&quot;non-dropping-particle&quot;:&quot;&quot;}],&quot;container-title&quot;:&quot;Pacific Basin Finance Journal&quot;,&quot;DOI&quot;:&quot;10.1016/j.pacfin.2023.102233&quot;,&quot;ISSN&quot;:&quot;0927538X&quot;,&quot;issued&quot;:{&quot;date-parts&quot;:[[2024,2,1]]},&quot;abstract&quot;:&quot;In this paper, we study the impact of policy actions undertaken by governments and other policy authorities during the COVID-19 pandemic on core inflation in four major economies of ASEAN region namely Indonesia, Malaysia, Singapore, and Thailand. Utilizing panel fixed effects regression, we find that policy interventions where financial authority and the central governments were the implementing institutions as significantly impacting the inflation. Further, delving into specific policy tools, our study finds evidence of significant impact of regulatory announcement and rules and miscellaneous prudential rules on core inflation. Our investigation is preliminary, but it provides insights into additional understanding of the effectiveness of policy actions in controlling inflation.&quot;,&quot;publisher&quot;:&quot;Elsevier B.V.&quot;,&quot;volume&quot;:&quot;83&quot;,&quot;container-title-short&quot;:&quot;&quot;},&quot;isTemporary&quot;:false}],&quot;citationTag&quot;:&quot;MENDELEY_CITATION_v3_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&quot;},{&quot;citationID&quot;:&quot;MENDELEY_CITATION_963376ff-f49a-4d49-a128-f60b6413f40e&quot;,&quot;properties&quot;:{&quot;noteIndex&quot;:0},&quot;isEdited&quot;:false,&quot;manualOverride&quot;:{&quot;isManuallyOverridden&quot;:false,&quot;citeprocText&quot;:&quot;(Wilantari &amp;#38; Afriani, 2021)&quot;,&quot;manualOverrideText&quot;:&quot;&quot;},&quot;citationItems&quot;:[{&quot;id&quot;:&quot;f62c772f-fc32-3f4d-a251-3d8607ce3096&quot;,&quot;itemData&quot;:{&quot;type&quot;:&quot;article-journal&quot;,&quot;id&quot;:&quot;f62c772f-fc32-3f4d-a251-3d8607ce3096&quot;,&quot;title&quot;:&quot;Monetary and fiscal policy mix connectivity towards the business cycle in Indonesia&quot;,&quot;author&quot;:[{&quot;family&quot;:&quot;Wilantari&quot;,&quot;given&quot;:&quot;Regina Niken&quot;,&quot;parse-names&quot;:false,&quot;dropping-particle&quot;:&quot;&quot;,&quot;non-dropping-particle&quot;:&quot;&quot;},{&quot;family&quot;:&quot;Afriani&quot;,&quot;given&quot;:&quot;Imro'atul Husna&quot;,&quot;parse-names&quot;:false,&quot;dropping-particle&quot;:&quot;&quot;,&quot;non-dropping-particle&quot;:&quot;&quot;}],&quot;container-title&quot;:&quot;Jurnal Perspektif Pembiayaan dan Pembangunan Daerah&quot;,&quot;DOI&quot;:&quot;10.22437/ppd.v9i2.11489&quot;,&quot;ISSN&quot;:&quot;2338-4603&quot;,&quot;issued&quot;:{&quot;date-parts&quot;:[[2021,6,30]]},&quot;page&quot;:&quot;139-152&quot;,&quot;abstract&quot;:&quot;This research is based on the magnitude of the influence of monetary and fiscal aspects, namely the money supply, exchange rates, government spending, and taxes on the business cycle in Indonesia. This study aims to examine the effect of the connection between the monetary and fiscal policy mix on the business cycle in Indonesia. For analysis purposes, secondary data was used in the form of time-series data from 1970–2017. The method used is the Vector Error Correction Model (VECM) to see long-term and short-term relationships. In the estimation results, it is found that in the long-term period, the monetary variables (money supply and exchange rates) and fiscal variables (government expenditures and taxes) have a significant positive effect on the business cycle in Indonesia.In contrast, the monetary variables that have a significant effect in the short-term period are only the amount variable money supply. There are no fiscal variables that have a significant effect on the business cycle in Indonesia. The interaction of monetary and fiscal policies is still effectively implemented in Indonesia.&quot;,&quot;publisher&quot;:&quot;Faculty of Education and Teacher Training, Jambi University&quot;,&quot;issue&quot;:&quot;2&quot;,&quot;volume&quot;:&quot;9&quot;,&quot;container-title-short&quot;:&quot;&quot;},&quot;isTemporary&quot;:false}],&quot;citationTag&quot;:&quot;MENDELEY_CITATION_v3_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&quot;},{&quot;citationID&quot;:&quot;MENDELEY_CITATION_8c5e0f94-d3a8-4b7a-b560-2d6662e32d6f&quot;,&quot;properties&quot;:{&quot;noteIndex&quot;:0},&quot;isEdited&quot;:false,&quot;manualOverride&quot;:{&quot;isManuallyOverridden&quot;:false,&quot;citeprocText&quot;:&quot;(Banerjee et al., 2023)&quot;,&quot;manualOverrideText&quot;:&quot;&quot;},&quot;citationItems&quot;:[{&quot;id&quot;:&quot;001ee03b-69a6-3a41-b818-c3cf1652c240&quot;,&quot;itemData&quot;:{&quot;type&quot;:&quot;book&quot;,&quot;id&quot;:&quot;001ee03b-69a6-3a41-b818-c3cf1652c240&quot;,&quot;title&quot;:&quot;BIS Bulletin No 81 Interest rate risk of non-financial firms: who hedges and does it help?&quot;,&quot;author&quot;:[{&quot;family&quot;:&quot;Banerjee&quot;,&quot;given&quot;:&quot;Ryan&quot;,&quot;parse-names&quot;:false,&quot;dropping-particle&quot;:&quot;&quot;,&quot;non-dropping-particle&quot;:&quot;&quot;},{&quot;family&quot;:&quot;Caballero&quot;,&quot;given&quot;:&quot;Julián&quot;,&quot;parse-names&quot;:false,&quot;dropping-particle&quot;:&quot;&quot;,&quot;non-dropping-particle&quot;:&quot;&quot;},{&quot;family&quot;:&quot;Kharroubi&quot;,&quot;given&quot;:&quot;Enisse&quot;,&quot;parse-names&quot;:false,&quot;dropping-particle&quot;:&quot;&quot;,&quot;non-dropping-particle&quot;:&quot;&quot;},{&quot;family&quot;:&quot;Spigt&quot;,&quot;given&quot;:&quot;Renée&quot;,&quot;parse-names&quot;:false,&quot;dropping-particle&quot;:&quot;&quot;,&quot;non-dropping-particle&quot;:&quot;&quot;},{&quot;family&quot;:&quot;Zakrajšek&quot;,&quot;given&quot;:&quot;Egon&quot;,&quot;parse-names&quot;:false,&quot;dropping-particle&quot;:&quot;&quot;,&quot;non-dropping-particle&quot;:&quot;&quot;}],&quot;ISBN&quot;:&quot;9789292597306&quot;,&quot;URL&quot;:&quot;www.bis.org&quot;,&quot;issued&quot;:{&quot;date-parts&quot;:[[2023]]},&quot;container-title-short&quot;:&quot;&quot;},&quot;isTemporary&quot;:false}],&quot;citationTag&quot;:&quot;MENDELEY_CITATION_v3_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&quot;},{&quot;citationID&quot;:&quot;MENDELEY_CITATION_0174085f-4c84-4574-ac24-6c8eb0b65790&quot;,&quot;properties&quot;:{&quot;noteIndex&quot;:0},&quot;isEdited&quot;:false,&quot;manualOverride&quot;:{&quot;isManuallyOverridden&quot;:false,&quot;citeprocText&quot;:&quot;(Rizvi et al., 2024)&quot;,&quot;manualOverrideText&quot;:&quot;&quot;},&quot;citationItems&quot;:[{&quot;id&quot;:&quot;449eb540-b223-3f58-87f6-ed7f4b17b34b&quot;,&quot;itemData&quot;:{&quot;type&quot;:&quot;article-journal&quot;,&quot;id&quot;:&quot;449eb540-b223-3f58-87f6-ed7f4b17b34b&quot;,&quot;title&quot;:&quot;Demystifying COVID-19 policy actions: The case of inflation control in ASEAN&quot;,&quot;author&quot;:[{&quot;family&quot;:&quot;Rizvi&quot;,&quot;given&quot;:&quot;Syed Aun R.&quot;,&quot;parse-names&quot;:false,&quot;dropping-particle&quot;:&quot;&quot;,&quot;non-dropping-particle&quot;:&quot;&quot;},{&quot;family&quot;:&quot;Sharma&quot;,&quot;given&quot;:&quot;Susan Sunila&quot;,&quot;parse-names&quot;:false,&quot;dropping-particle&quot;:&quot;&quot;,&quot;non-dropping-particle&quot;:&quot;&quot;},{&quot;family&quot;:&quot;Juhro&quot;,&quot;given&quot;:&quot;Solikin M.&quot;,&quot;parse-names&quot;:false,&quot;dropping-particle&quot;:&quot;&quot;,&quot;non-dropping-particle&quot;:&quot;&quot;}],&quot;container-title&quot;:&quot;Pacific Basin Finance Journal&quot;,&quot;DOI&quot;:&quot;10.1016/j.pacfin.2023.102233&quot;,&quot;ISSN&quot;:&quot;0927538X&quot;,&quot;issued&quot;:{&quot;date-parts&quot;:[[2024,2,1]]},&quot;abstract&quot;:&quot;In this paper, we study the impact of policy actions undertaken by governments and other policy authorities during the COVID-19 pandemic on core inflation in four major economies of ASEAN region namely Indonesia, Malaysia, Singapore, and Thailand. Utilizing panel fixed effects regression, we find that policy interventions where financial authority and the central governments were the implementing institutions as significantly impacting the inflation. Further, delving into specific policy tools, our study finds evidence of significant impact of regulatory announcement and rules and miscellaneous prudential rules on core inflation. Our investigation is preliminary, but it provides insights into additional understanding of the effectiveness of policy actions in controlling inflation.&quot;,&quot;publisher&quot;:&quot;Elsevier B.V.&quot;,&quot;volume&quot;:&quot;83&quot;,&quot;container-title-short&quot;:&quot;&quot;},&quot;isTemporary&quot;:false}],&quot;citationTag&quot;:&quot;MENDELEY_CITATION_v3_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&quot;},{&quot;citationID&quot;:&quot;MENDELEY_CITATION_15460602-aba1-4afd-b81f-9b6e6048d6f9&quot;,&quot;properties&quot;:{&quot;noteIndex&quot;:0},&quot;isEdited&quot;:false,&quot;manualOverride&quot;:{&quot;isManuallyOverridden&quot;:false,&quot;citeprocText&quot;:&quot;(Rant et al., 2024)&quot;,&quot;manualOverrideText&quot;:&quot;&quot;},&quot;citationItems&quot;:[{&quot;id&quot;:&quot;ffd7532c-6d3d-3364-ae27-549f6b1b6d59&quot;,&quot;itemData&quot;:{&quot;type&quot;:&quot;article-journal&quot;,&quot;id&quot;:&quot;ffd7532c-6d3d-3364-ae27-549f6b1b6d59&quot;,&quot;title&quot;:&quot;Macroeconomic impacts of monetary and fiscal policy in the euro area in times of shifting policies: A SVAR approach&quot;,&quot;author&quot;:[{&quot;family&quot;:&quot;Rant&quot;,&quot;given&quot;:&quot;Vasja&quot;,&quot;parse-names&quot;:false,&quot;dropping-particle&quot;:&quot;&quot;,&quot;non-dropping-particle&quot;:&quot;&quot;},{&quot;family&quot;:&quot;Puc&quot;,&quot;given&quot;:&quot;Anja&quot;,&quot;parse-names&quot;:false,&quot;dropping-particle&quot;:&quot;&quot;,&quot;non-dropping-particle&quot;:&quot;&quot;},{&quot;family&quot;:&quot;Čok&quot;,&quot;given&quot;:&quot;Mitja&quot;,&quot;parse-names&quot;:false,&quot;dropping-particle&quot;:&quot;&quot;,&quot;non-dropping-particle&quot;:&quot;&quot;},{&quot;family&quot;:&quot;Verbič&quot;,&quot;given&quot;:&quot;Miroslav&quot;,&quot;parse-names&quot;:false,&quot;dropping-particle&quot;:&quot;&quot;,&quot;non-dropping-particle&quot;:&quot;&quot;}],&quot;container-title&quot;:&quot;Finance Research Letters&quot;,&quot;container-title-short&quot;:&quot;Financ. Res. Lett.&quot;,&quot;DOI&quot;:&quot;10.1016/j.frl.2024.105406&quot;,&quot;ISSN&quot;:&quot;15446123&quot;,&quot;issued&quot;:{&quot;date-parts&quot;:[[2024,6,1]]},&quot;abstract&quot;:&quot;This paper analyses the impacts of monetary and fiscal policy of the euro area on output and inflation between 2005 and 2022 using a structural vector autoregressive (SVAR) approach. We employ three alternative indicators of monetary policy, alongside government spending and revenue as fiscal variables to estimate the effects across different subperiods. The findings reveal that monetary policy tightening produces a negative and delayed effect on both output and inflation, with the effects differing across alternative monetary policy indicators in terms of duration and magnitude. A fiscal revenue shock is found to be inflationary, whereas a fiscal spending shock initially has a negative effect on growth that later turns positive, but is short-lived. The effects of fiscal policy shocks are more substantial than the effects of monetary policy shocks. The results also suggest that the effects may differ across subperiods, depending on the nature and intensity of the policy shifts.&quot;,&quot;publisher&quot;:&quot;Elsevier Ltd&quot;,&quot;volume&quot;:&quot;64&quot;},&quot;isTemporary&quot;:false}],&quot;citationTag&quot;:&quot;MENDELEY_CITATION_v3_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&quot;},{&quot;citationID&quot;:&quot;MENDELEY_CITATION_a4e8d39a-d3f1-4a4e-8867-1aa33066d0b9&quot;,&quot;properties&quot;:{&quot;noteIndex&quot;:0},&quot;isEdited&quot;:false,&quot;manualOverride&quot;:{&quot;isManuallyOverridden&quot;:false,&quot;citeprocText&quot;:&quot;(Phillips, 1958)&quot;,&quot;manualOverrideText&quot;:&quot;&quot;},&quot;citationItems&quot;:[{&quot;id&quot;:&quot;fb0d38b2-7cd7-381f-a586-18632b65202a&quot;,&quot;itemData&quot;:{&quot;type&quot;:&quot;article-journal&quot;,&quot;id&quot;:&quot;fb0d38b2-7cd7-381f-a586-18632b65202a&quot;,&quot;title&quot;:&quot;The Relation Between Unemployment and the Rate of Change of Money Wage Rates in the United Kingdom, 1861–19571&quot;,&quot;author&quot;:[{&quot;family&quot;:&quot;Phillips&quot;,&quot;given&quot;:&quot;A. W.&quot;,&quot;parse-names&quot;:false,&quot;dropping-particle&quot;:&quot;&quot;,&quot;non-dropping-particle&quot;:&quot;&quot;}],&quot;container-title&quot;:&quot;Economica&quot;,&quot;container-title-short&quot;:&quot;Economica&quot;,&quot;DOI&quot;:&quot;10.1111/j.1468-0335.1958.tb00003.x&quot;,&quot;ISSN&quot;:&quot;14680335&quot;,&quot;issued&quot;:{&quot;date-parts&quot;:[[1958]]},&quot;page&quot;:&quot;283-299&quot;,&quot;issue&quot;:&quot;100&quot;,&quot;volume&quot;:&quot;25&quot;},&quot;isTemporary&quot;:false}],&quot;citationTag&quot;:&quot;MENDELEY_CITATION_v3_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&quot;},{&quot;citationID&quot;:&quot;MENDELEY_CITATION_8fe9197b-168f-4ab7-b67a-fe9d4349a193&quot;,&quot;properties&quot;:{&quot;noteIndex&quot;:0},&quot;isEdited&quot;:false,&quot;manualOverride&quot;:{&quot;isManuallyOverridden&quot;:false,&quot;citeprocText&quot;:&quot;(Milton Friedman et al., 1968)&quot;,&quot;manualOverrideText&quot;:&quot;&quot;},&quot;citationItems&quot;:[{&quot;id&quot;:&quot;9dae61b1-8379-3de7-beaa-b4307ece1683&quot;,&quot;itemData&quot;:{&quot;type&quot;:&quot;article-journal&quot;,&quot;id&quot;:&quot;9dae61b1-8379-3de7-beaa-b4307ece1683&quot;,&quot;title&quot;:&quot;THE ROLE OF MONETARY POLICY*&quot;,&quot;author&quot;:[{&quot;family&quot;:&quot;Milton Friedman&quot;,&quot;given&quot;:&quot;By&quot;,&quot;parse-names&quot;:false,&quot;dropping-particle&quot;:&quot;&quot;,&quot;non-dropping-particle&quot;:&quot;&quot;},{&quot;family&quot;:&quot;Alchian&quot;,&quot;given&quot;:&quot;Armen&quot;,&quot;parse-names&quot;:false,&quot;dropping-particle&quot;:&quot;&quot;,&quot;non-dropping-particle&quot;:&quot;&quot;},{&quot;family&quot;:&quot;Becker&quot;,&quot;given&quot;:&quot;Gary&quot;,&quot;parse-names&quot;:false,&quot;dropping-particle&quot;:&quot;&quot;,&quot;non-dropping-particle&quot;:&quot;&quot;},{&quot;family&quot;:&quot;Bronfenbrenner&quot;,&quot;given&quot;:&quot;Martin&quot;,&quot;parse-names&quot;:false,&quot;dropping-particle&quot;:&quot;&quot;,&quot;non-dropping-particle&quot;:&quot;&quot;},{&quot;family&quot;:&quot;Burns&quot;,&quot;given&quot;:&quot;Arthur F&quot;,&quot;parse-names&quot;:false,&quot;dropping-particle&quot;:&quot;&quot;,&quot;non-dropping-particle&quot;:&quot;&quot;},{&quot;family&quot;:&quot;Cagan&quot;,&quot;given&quot;:&quot;Phillip&quot;,&quot;parse-names&quot;:false,&quot;dropping-particle&quot;:&quot;&quot;,&quot;non-dropping-particle&quot;:&quot;&quot;},{&quot;family&quot;:&quot;Friedman&quot;,&quot;given&quot;:&quot;David D&quot;,&quot;parse-names&quot;:false,&quot;dropping-particle&quot;:&quot;&quot;,&quot;non-dropping-particle&quot;:&quot;&quot;},{&quot;family&quot;:&quot;Harris&quot;,&quot;given&quot;:&quot;Lawrence&quot;,&quot;parse-names&quot;:false,&quot;dropping-particle&quot;:&quot;&quot;,&quot;non-dropping-particle&quot;:&quot;&quot;},{&quot;family&quot;:&quot;Johnson&quot;,&quot;given&quot;:&quot;Harry G&quot;,&quot;parse-names&quot;:false,&quot;dropping-particle&quot;:&quot;&quot;,&quot;non-dropping-particle&quot;:&quot;&quot;},{&quot;family&quot;:&quot;Jones&quot;,&quot;given&quot;:&quot;Homer&quot;,&quot;parse-names&quot;:false,&quot;dropping-particle&quot;:&quot;&quot;,&quot;non-dropping-particle&quot;:&quot;&quot;},{&quot;family&quot;:&quot;Jordan&quot;,&quot;given&quot;:&quot;Jerry&quot;,&quot;parse-names&quot;:false,&quot;dropping-particle&quot;:&quot;&quot;,&quot;non-dropping-particle&quot;:&quot;&quot;},{&quot;family&quot;:&quot;Meiselman&quot;,&quot;given&quot;:&quot;David&quot;,&quot;parse-names&quot;:false,&quot;dropping-particle&quot;:&quot;&quot;,&quot;non-dropping-particle&quot;:&quot;&quot;},{&quot;family&quot;:&quot;Meltzer&quot;,&quot;given&quot;:&quot;Allan H&quot;,&quot;parse-names&quot;:false,&quot;dropping-particle&quot;:&quot;&quot;,&quot;non-dropping-particle&quot;:&quot;&quot;},{&quot;family&quot;:&quot;Schultz&quot;,&quot;given&quot;:&quot;Theodore W&quot;,&quot;parse-names&quot;:false,&quot;dropping-particle&quot;:&quot;&quot;,&quot;non-dropping-particle&quot;:&quot;&quot;},{&quot;family&quot;:&quot;Schwartz&quot;,&quot;given&quot;:&quot;Anna J&quot;,&quot;parse-names&quot;:false,&quot;dropping-particle&quot;:&quot;&quot;,&quot;non-dropping-particle&quot;:&quot;&quot;},{&quot;family&quot;:&quot;Stein&quot;,&quot;given&quot;:&quot;Herbert&quot;,&quot;parse-names&quot;:false,&quot;dropping-particle&quot;:&quot;&quot;,&quot;non-dropping-particle&quot;:&quot;&quot;},{&quot;family&quot;:&quot;Stigler&quot;,&quot;given&quot;:&quot;George J&quot;,&quot;parse-names&quot;:false,&quot;dropping-particle&quot;:&quot;&quot;,&quot;non-dropping-particle&quot;:&quot;&quot;},{&quot;family&quot;:&quot;Tobin&quot;,&quot;given&quot;:&quot;James&quot;,&quot;parse-names&quot;:false,&quot;dropping-particle&quot;:&quot;&quot;,&quot;non-dropping-particle&quot;:&quot;&quot;}],&quot;issued&quot;:{&quot;date-parts&quot;:[[1968,3]]},&quot;abstract&quot;:&quot;There is wide agreement about the major goals of economic policy: high employment, stable prices, and rapid growth. There is less agreement that these goals are mutually compatible or, among those who regard them as incompatible, about the terms at which they can and should be substituted for one another. There is least agreement about the role that various instruments of policy can and should play in achieving the several goals. My topic for tonight is the role of one such instrument-monetary policy. What can it contribute? And how should it be conducted to contribute the most? Opinion on these questions has fluctuated widely. In the first flush of enthusiasm about the newly created Federal Reserve System, many observers attributed the relative stability of the 1920s to the System's capacity for fine tuning-to apply an apt modern term. It came to be widely believed that a new era had arrived in which business cycles had been rendered obsolete by advances in monetary technology. This opinion was shared by economist and layman alike, though, of course, there were some dissonant voices. The Great Contraction destroyed this naive attitude. Opinion swung to the other extreme. Monetary policy was a string. You could pull on it to stop inflation but you could not push on it to halt recession. You could lead a horse to water but you could not make him drink. Such theory by aphorism was soon replaced by Keynes' rigorous and sophisticated analysis. Keynes offered simultaneously an explanation for the presumed impotence of monetary policy to stem the depression, a nonmonetary interpretation of the depression, and an alternative to monetary policy&quot;,&quot;issue&quot;:&quot;1&quot;,&quot;volume&quot;:&quot;LVIII&quot;,&quot;container-title-short&quot;:&quot;&quot;},&quot;isTemporary&quot;:false}],&quot;citationTag&quot;:&quot;MENDELEY_CITATION_v3_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&quot;},{&quot;citationID&quot;:&quot;MENDELEY_CITATION_93834892-215d-4684-bd38-06c1bccb4376&quot;,&quot;properties&quot;:{&quot;noteIndex&quot;:0},&quot;isEdited&quot;:false,&quot;manualOverride&quot;:{&quot;isManuallyOverridden&quot;:false,&quot;citeprocText&quot;:&quot;(Clarida et al., 1999)&quot;,&quot;manualOverrideText&quot;:&quot;&quot;},&quot;citationItems&quot;:[{&quot;id&quot;:&quot;539949e8-c904-318a-bff4-5d43fe07e2b2&quot;,&quot;itemData&quot;:{&quot;type&quot;:&quot;article-journal&quot;,&quot;id&quot;:&quot;539949e8-c904-318a-bff4-5d43fe07e2b2&quot;,&quot;title&quot;:&quot;The science of monetary policy: A new Keynesian perspective&quot;,&quot;author&quot;:[{&quot;family&quot;:&quot;Clarida&quot;,&quot;given&quot;:&quot;Richard&quot;,&quot;parse-names&quot;:false,&quot;dropping-particle&quot;:&quot;&quot;,&quot;non-dropping-particle&quot;:&quot;&quot;},{&quot;family&quot;:&quot;Galí&quot;,&quot;given&quot;:&quot;Jordi&quot;,&quot;parse-names&quot;:false,&quot;dropping-particle&quot;:&quot;&quot;,&quot;non-dropping-particle&quot;:&quot;&quot;},{&quot;family&quot;:&quot;Gertler&quot;,&quot;given&quot;:&quot;Mark&quot;,&quot;parse-names&quot;:false,&quot;dropping-particle&quot;:&quot;&quot;,&quot;non-dropping-particle&quot;:&quot;&quot;}],&quot;container-title&quot;:&quot;Journal of Economic Literature&quot;,&quot;container-title-short&quot;:&quot;J. Econ. Lit.&quot;,&quot;DOI&quot;:&quot;10.1257/jel.37.4.1661&quot;,&quot;ISSN&quot;:&quot;00220515&quot;,&quot;issued&quot;:{&quot;date-parts&quot;:[[1999]]},&quot;page&quot;:&quot;1661-1707&quot;,&quot;publisher&quot;:&quot;American Economic Association&quot;,&quot;issue&quot;:&quot;4&quot;,&quot;volume&quot;:&quot;37&quot;},&quot;isTemporary&quot;:false}],&quot;citationTag&quot;:&quot;MENDELEY_CITATION_v3_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&quot;},{&quot;citationID&quot;:&quot;MENDELEY_CITATION_d0227bd8-249c-4034-97ca-4ebe233d8e34&quot;,&quot;properties&quot;:{&quot;noteIndex&quot;:0},&quot;isEdited&quot;:false,&quot;manualOverride&quot;:{&quot;isManuallyOverridden&quot;:false,&quot;citeprocText&quot;:&quot;(Blomqvist, 1950)&quot;,&quot;manualOverrideText&quot;:&quot;&quot;},&quot;citationItems&quot;:[{&quot;id&quot;:&quot;344074b0-0ffb-3db8-b9ed-d1acf3944be1&quot;,&quot;itemData&quot;:{&quot;type&quot;:&quot;article-journal&quot;,&quot;id&quot;:&quot;344074b0-0ffb-3db8-b9ed-d1acf3944be1&quot;,&quot;title&quot;:&quot;On a Measure of Dependence Between two Random Variables&quot;,&quot;author&quot;:[{&quot;family&quot;:&quot;Blomqvist&quot;,&quot;given&quot;:&quot;Nils&quot;,&quot;parse-names&quot;:false,&quot;dropping-particle&quot;:&quot;&quot;,&quot;non-dropping-particle&quot;:&quot;&quot;}],&quot;container-title&quot;:&quot;JSTOR&quot;,&quot;issued&quot;:{&quot;date-parts&quot;:[[1950,12]]},&quot;issue&quot;:&quot;4&quot;,&quot;volume&quot;:&quot;21&quot;,&quot;container-title-short&quot;:&quot;&quot;},&quot;isTemporary&quot;:false}],&quot;citationTag&quot;:&quot;MENDELEY_CITATION_v3_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&quot;},{&quot;citationID&quot;:&quot;MENDELEY_CITATION_4aca6c94-6404-45e0-a411-e9be9d629eb8&quot;,&quot;properties&quot;:{&quot;noteIndex&quot;:0},&quot;isEdited&quot;:false,&quot;manualOverride&quot;:{&quot;isManuallyOverridden&quot;:false,&quot;citeprocText&quot;:&quot;(Keynes, 1936)&quot;,&quot;manualOverrideText&quot;:&quot;&quot;},&quot;citationItems&quot;:[{&quot;id&quot;:&quot;f6aba6e1-4481-3fe9-847a-c3fe62b142bf&quot;,&quot;itemData&quot;:{&quot;type&quot;:&quot;book&quot;,&quot;id&quot;:&quot;f6aba6e1-4481-3fe9-847a-c3fe62b142bf&quot;,&quot;title&quot;:&quot;The General Theory of Employment, Interest and Money&quot;,&quot;author&quot;:[{&quot;family&quot;:&quot;Keynes&quot;,&quot;given&quot;:&quot;John Maynard&quot;,&quot;parse-names&quot;:false,&quot;dropping-particle&quot;:&quot;&quot;,&quot;non-dropping-particle&quot;:&quot;&quot;}],&quot;URL&quot;:&quot;https://www.marxists.org/reference/subject/economics/keynes/general-theory/&quot;,&quot;issued&quot;:{&quot;date-parts&quot;:[[1936]]},&quot;publisher-place&quot;:&quot;New York&quot;,&quot;edition&quot;:&quot;marxists.org 2002.&quot;,&quot;publisher&quot;:&quot;Macmillan Cambridge University Press, for Royal Economic Society in 1936&quot;,&quot;container-title-short&quot;:&quot;&quot;},&quot;isTemporary&quot;:false}],&quot;citationTag&quot;:&quot;MENDELEY_CITATION_v3_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&quot;},{&quot;citationID&quot;:&quot;MENDELEY_CITATION_38bb66be-cd1d-4ae4-a504-ef9549be1017&quot;,&quot;properties&quot;:{&quot;noteIndex&quot;:0},&quot;isEdited&quot;:false,&quot;manualOverride&quot;:{&quot;isManuallyOverridden&quot;:false,&quot;citeprocText&quot;:&quot;(Blanchard &amp;#38; Perotti, 2002)&quot;,&quot;manualOverrideText&quot;:&quot;&quot;},&quot;citationItems&quot;:[{&quot;id&quot;:&quot;d9a58d39-dde8-3f11-97fa-f4df61fb86e3&quot;,&quot;itemData&quot;:{&quot;type&quot;:&quot;article-journal&quot;,&quot;id&quot;:&quot;d9a58d39-dde8-3f11-97fa-f4df61fb86e3&quot;,&quot;title&quot;:&quot;An empirical characterization of the dynamic effects of changes in government spending and taxes on output&quot;,&quot;author&quot;:[{&quot;family&quot;:&quot;Blanchard&quot;,&quot;given&quot;:&quot;Olivier&quot;,&quot;parse-names&quot;:false,&quot;dropping-particle&quot;:&quot;&quot;,&quot;non-dropping-particle&quot;:&quot;&quot;},{&quot;family&quot;:&quot;Perotti&quot;,&quot;given&quot;:&quot;Roberto&quot;,&quot;parse-names&quot;:false,&quot;dropping-particle&quot;:&quot;&quot;,&quot;non-dropping-particle&quot;:&quot;&quot;}],&quot;container-title&quot;:&quot;Quarterly Journal of Economics&quot;,&quot;DOI&quot;:&quot;10.1162/003355302320935043&quot;,&quot;ISSN&quot;:&quot;00335533&quot;,&quot;issued&quot;:{&quot;date-parts&quot;:[[2002,11,1]]},&quot;page&quot;:&quot;1329-1368&quot;,&quot;abstract&quot;:&quot;This paper characterizes the dynamic effects of shocks in government spending and taxes on U.S. activity in the postwar period. Et does so by using a mixed structural VAR/event study approach. Identification is achieved by using institutional information about the tax and transfer systems to identify the automatic response of taxes and spending to activity, and, by implication, to infer fiscal shocks. The results consistently show positive government spending shocks as having a positive effect on output, and positive tax shocks as having a negative effect. One result has a distinctly nonstandard flavor: both increases in taxes and increases in government spending have a strong negative effect on investment spending.&quot;,&quot;publisher&quot;:&quot;Oxford University Press&quot;,&quot;issue&quot;:&quot;4&quot;,&quot;volume&quot;:&quot;117&quot;,&quot;container-title-short&quot;:&quot;&quot;},&quot;isTemporary&quot;:false}],&quot;citationTag&quot;:&quot;MENDELEY_CITATION_v3_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&quot;},{&quot;citationID&quot;:&quot;MENDELEY_CITATION_8e927293-07bb-49be-b0e4-102d440f9eb5&quot;,&quot;properties&quot;:{&quot;noteIndex&quot;:0},&quot;isEdited&quot;:false,&quot;manualOverride&quot;:{&quot;isManuallyOverridden&quot;:false,&quot;citeprocText&quot;:&quot;(Auerbach &amp;#38; Gorodnichenko, 2012)&quot;,&quot;manualOverrideText&quot;:&quot;&quot;},&quot;citationItems&quot;:[{&quot;id&quot;:&quot;f36baf36-d965-3d64-954f-c5e411d1b7f0&quot;,&quot;itemData&quot;:{&quot;type&quot;:&quot;article-journal&quot;,&quot;id&quot;:&quot;f36baf36-d965-3d64-954f-c5e411d1b7f0&quot;,&quot;title&quot;:&quot;Measuring the output responses to fiscal policy&quot;,&quot;author&quot;:[{&quot;family&quot;:&quot;Auerbach&quot;,&quot;given&quot;:&quot;Alan J.&quot;,&quot;parse-names&quot;:false,&quot;dropping-particle&quot;:&quot;&quot;,&quot;non-dropping-particle&quot;:&quot;&quot;},{&quot;family&quot;:&quot;Gorodnichenko&quot;,&quot;given&quot;:&quot;Yuriy&quot;,&quot;parse-names&quot;:false,&quot;dropping-particle&quot;:&quot;&quot;,&quot;non-dropping-particle&quot;:&quot;&quot;}],&quot;container-title&quot;:&quot;American Economic Journal: Economic Policy&quot;,&quot;container-title-short&quot;:&quot;Am. Econ. J. Econ. Policy&quot;,&quot;DOI&quot;:&quot;10.1257/pol.4.2.1&quot;,&quot;ISSN&quot;:&quot;19457731&quot;,&quot;issued&quot;:{&quot;date-parts&quot;:[[2012,5]]},&quot;page&quot;:&quot;1-27&quot;,&quot;abstract&quot;:&quot;A key issue in current research and policy is the size of fiscal multipliers when the economy is in recession. We provide three insights. First, using regime-switching models, we find large differences in the size of spending multipliers in recessions and expansions with fiscal policy being considerably more effective in recessions than in expansions. Second, we estimate multipliers for more disaggregate spending variables which behave differently relative to aggregate fiscal policy shocks, with military spending having the largest multiplier. Third, we show that controlling for predictable components of fiscal shocks tends to increase the size of the multipliers in recessions.&quot;,&quot;issue&quot;:&quot;2&quot;,&quot;volume&quot;:&quot;4&quot;},&quot;isTemporary&quot;:false}],&quot;citationTag&quot;:&quot;MENDELEY_CITATION_v3_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&quot;},{&quot;citationID&quot;:&quot;MENDELEY_CITATION_af3cc6ce-26e4-497e-98a8-4f2f636edd07&quot;,&quot;properties&quot;:{&quot;noteIndex&quot;:0},&quot;isEdited&quot;:false,&quot;manualOverride&quot;:{&quot;isManuallyOverridden&quot;:false,&quot;citeprocText&quot;:&quot;(Wilantari &amp;#38; Afriani, 2021)&quot;,&quot;manualOverrideText&quot;:&quot;&quot;},&quot;citationItems&quot;:[{&quot;id&quot;:&quot;f62c772f-fc32-3f4d-a251-3d8607ce3096&quot;,&quot;itemData&quot;:{&quot;type&quot;:&quot;article-journal&quot;,&quot;id&quot;:&quot;f62c772f-fc32-3f4d-a251-3d8607ce3096&quot;,&quot;title&quot;:&quot;Monetary and fiscal policy mix connectivity towards the business cycle in Indonesia&quot;,&quot;author&quot;:[{&quot;family&quot;:&quot;Wilantari&quot;,&quot;given&quot;:&quot;Regina Niken&quot;,&quot;parse-names&quot;:false,&quot;dropping-particle&quot;:&quot;&quot;,&quot;non-dropping-particle&quot;:&quot;&quot;},{&quot;family&quot;:&quot;Afriani&quot;,&quot;given&quot;:&quot;Imro'atul Husna&quot;,&quot;parse-names&quot;:false,&quot;dropping-particle&quot;:&quot;&quot;,&quot;non-dropping-particle&quot;:&quot;&quot;}],&quot;container-title&quot;:&quot;Jurnal Perspektif Pembiayaan dan Pembangunan Daerah&quot;,&quot;DOI&quot;:&quot;10.22437/ppd.v9i2.11489&quot;,&quot;ISSN&quot;:&quot;2338-4603&quot;,&quot;issued&quot;:{&quot;date-parts&quot;:[[2021,6,30]]},&quot;page&quot;:&quot;139-152&quot;,&quot;abstract&quot;:&quot;This research is based on the magnitude of the influence of monetary and fiscal aspects, namely the money supply, exchange rates, government spending, and taxes on the business cycle in Indonesia. This study aims to examine the effect of the connection between the monetary and fiscal policy mix on the business cycle in Indonesia. For analysis purposes, secondary data was used in the form of time-series data from 1970–2017. The method used is the Vector Error Correction Model (VECM) to see long-term and short-term relationships. In the estimation results, it is found that in the long-term period, the monetary variables (money supply and exchange rates) and fiscal variables (government expenditures and taxes) have a significant positive effect on the business cycle in Indonesia.In contrast, the monetary variables that have a significant effect in the short-term period are only the amount variable money supply. There are no fiscal variables that have a significant effect on the business cycle in Indonesia. The interaction of monetary and fiscal policies is still effectively implemented in Indonesia.&quot;,&quot;publisher&quot;:&quot;Faculty of Education and Teacher Training, Jambi University&quot;,&quot;issue&quot;:&quot;2&quot;,&quot;volume&quot;:&quot;9&quot;,&quot;container-title-short&quot;:&quot;&quot;},&quot;isTemporary&quot;:false}],&quot;citationTag&quot;:&quot;MENDELEY_CITATION_v3_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&quot;},{&quot;citationID&quot;:&quot;MENDELEY_CITATION_d874bb05-53a8-445d-869e-d910fb888eda&quot;,&quot;properties&quot;:{&quot;noteIndex&quot;:0},&quot;isEdited&quot;:false,&quot;manualOverride&quot;:{&quot;isManuallyOverridden&quot;:false,&quot;citeprocText&quot;:&quot;(Juneldi &amp;#38; Sentosa, 2022)&quot;,&quot;manualOverrideText&quot;:&quot;&quot;},&quot;citationItems&quot;:[{&quot;id&quot;:&quot;def65881-58a4-3099-a364-c58f0739bb71&quot;,&quot;itemData&quot;:{&quot;type&quot;:&quot;article-journal&quot;,&quot;id&quot;:&quot;def65881-58a4-3099-a364-c58f0739bb71&quot;,&quot;title&quot;:&quot;Efek Variabel Kebijakan Moneter Dan Fiskal Terhadap Inflasi,\nPertumbuhan Ekonomi Dan Tingkat Pengangguran\nDi Indonesia&quot;,&quot;author&quot;:[{&quot;family&quot;:&quot;Juneldi&quot;,&quot;given&quot;:&quot;Jemi&quot;,&quot;parse-names&quot;:false,&quot;dropping-particle&quot;:&quot;&quot;,&quot;non-dropping-particle&quot;:&quot;&quot;},{&quot;family&quot;:&quot;Sentosa&quot;,&quot;given&quot;:&quot;Sri Ulfa&quot;,&quot;parse-names&quot;:false,&quot;dropping-particle&quot;:&quot;&quot;,&quot;non-dropping-particle&quot;:&quot;&quot;}],&quot;container-title&quot;:&quot;Jurnal Kajian Ekonomi dan Pembangunan&quot;,&quot;issued&quot;:{&quot;date-parts&quot;:[[2022]]},&quot;page&quot;:&quot;1-10&quot;,&quot;volume&quot;:&quot;4&quot;,&quot;container-title-short&quot;:&quot;&quot;},&quot;isTemporary&quot;:false}],&quot;citationTag&quot;:&quot;MENDELEY_CITATION_v3_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&quot;},{&quot;citationID&quot;:&quot;MENDELEY_CITATION_769e4b04-ada8-41be-9150-e5105dd4ce8d&quot;,&quot;properties&quot;:{&quot;noteIndex&quot;:0},&quot;isEdited&quot;:false,&quot;manualOverride&quot;:{&quot;isManuallyOverridden&quot;:false,&quot;citeprocText&quot;:&quot;(IMF, 2024b)&quot;,&quot;manualOverrideText&quot;:&quot;&quot;},&quot;citationItems&quot;:[{&quot;id&quot;:&quot;1a2ea072-32bf-3493-bd8e-084ee0ab2058&quot;,&quot;itemData&quot;:{&quot;type&quot;:&quot;report&quot;,&quot;id&quot;:&quot;1a2ea072-32bf-3493-bd8e-084ee0ab2058&quot;,&quot;title&quot;:&quot;Indonesia: 2024 Article IV Consultation-Press Release; Staff Report; and Statement by the Executive Director for Indonesia; IMF Country Report No. 24/270; July 2, 2024&quot;,&quot;author&quot;:[{&quot;family&quot;:&quot;IMF&quot;,&quot;given&quot;:&quot;&quot;,&quot;parse-names&quot;:false,&quot;dropping-particle&quot;:&quot;&quot;,&quot;non-dropping-particle&quot;:&quot;&quot;}],&quot;URL&quot;:&quot;http://www.imf.org&quot;,&quot;issued&quot;:{&quot;date-parts&quot;:[[2024]]},&quot;container-title-short&quot;:&quot;&quot;},&quot;isTemporary&quot;:false}],&quot;citationTag&quot;:&quot;MENDELEY_CITATION_v3_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&quot;},{&quot;citationID&quot;:&quot;MENDELEY_CITATION_59962989-2f63-4b98-a9fc-dcc20b93914b&quot;,&quot;properties&quot;:{&quot;noteIndex&quot;:0},&quot;isEdited&quot;:false,&quot;manualOverride&quot;:{&quot;isManuallyOverridden&quot;:false,&quot;citeprocText&quot;:&quot;(Beranke &amp;#38; Blirder, 1990)&quot;,&quot;manualOverrideText&quot;:&quot;&quot;},&quot;citationItems&quot;:[{&quot;id&quot;:&quot;3059ad91-2ae0-35de-8d18-936e4a772ba4&quot;,&quot;itemData&quot;:{&quot;type&quot;:&quot;report&quot;,&quot;id&quot;:&quot;3059ad91-2ae0-35de-8d18-936e4a772ba4&quot;,&quot;title&quot;:&quot;The Federal Funds Rate and The Channelsof Monetary Transmission&quot;,&quot;author&quot;:[{&quot;family&quot;:&quot;Beranke&quot;,&quot;given&quot;:&quot;Flen&quot;,&quot;parse-names&quot;:false,&quot;dropping-particle&quot;:&quot;&quot;,&quot;non-dropping-particle&quot;:&quot;&quot;},{&quot;family&quot;:&quot;Blirder&quot;,&quot;given&quot;:&quot;Alan&quot;,&quot;parse-names&quot;:false,&quot;dropping-particle&quot;:&quot;&quot;,&quot;non-dropping-particle&quot;:&quot;&quot;}],&quot;issued&quot;:{&quot;date-parts&quot;:[[1990]]},&quot;container-title-short&quot;:&quot;&quot;},&quot;isTemporary&quot;:false}],&quot;citationTag&quot;:&quot;MENDELEY_CITATION_v3_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&quot;},{&quot;citationID&quot;:&quot;MENDELEY_CITATION_5e67bede-40bb-49bd-ba06-ac9af1823599&quot;,&quot;properties&quot;:{&quot;noteIndex&quot;:0},&quot;isEdited&quot;:false,&quot;manualOverride&quot;:{&quot;isManuallyOverridden&quot;:false,&quot;citeprocText&quot;:&quot;(Barro, 1988)&quot;,&quot;manualOverrideText&quot;:&quot;&quot;},&quot;citationItems&quot;:[{&quot;id&quot;:&quot;8812795b-db38-3d83-a604-c4f0fd497f02&quot;,&quot;itemData&quot;:{&quot;type&quot;:&quot;report&quot;,&quot;id&quot;:&quot;8812795b-db38-3d83-a604-c4f0fd497f02&quot;,&quot;title&quot;:&quot;NBER WORKING PAPER SERIES GOVERNMENT SPENDING IN A SIMPLE MODEL OF ENDOGENOUS GROWTH&quot;,&quot;author&quot;:[{&quot;family&quot;:&quot;Barro&quot;,&quot;given&quot;:&quot;Robert J&quot;,&quot;parse-names&quot;:false,&quot;dropping-particle&quot;:&quot;&quot;,&quot;non-dropping-particle&quot;:&quot;&quot;}],&quot;issued&quot;:{&quot;date-parts&quot;:[[1988]]},&quot;container-title-short&quot;:&quot;&quot;},&quot;isTemporary&quot;:false}],&quot;citationTag&quot;:&quot;MENDELEY_CITATION_v3_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&quot;},{&quot;citationID&quot;:&quot;MENDELEY_CITATION_6a7b4188-c7a9-49a4-9d0f-7cc27a64fc13&quot;,&quot;properties&quot;:{&quot;noteIndex&quot;:0},&quot;isEdited&quot;:false,&quot;manualOverride&quot;:{&quot;isManuallyOverridden&quot;:false,&quot;citeprocText&quot;:&quot;(Sargent, 1981)&quot;,&quot;manualOverrideText&quot;:&quot;&quot;},&quot;citationItems&quot;:[{&quot;id&quot;:&quot;d3f29cde-e5ac-39da-bb07-ac82035f8d77&quot;,&quot;itemData&quot;:{&quot;type&quot;:&quot;report&quot;,&quot;id&quot;:&quot;d3f29cde-e5ac-39da-bb07-ac82035f8d77&quot;,&quot;title&quot;:&quot;Federal Reserve Bank of Minneapolis&quot;,&quot;author&quot;:[{&quot;family&quot;:&quot;Sargent&quot;,&quot;given&quot;:&quot;Thomas J&quot;,&quot;parse-names&quot;:false,&quot;dropping-particle&quot;:&quot;&quot;,&quot;non-dropping-particle&quot;:&quot;&quot;}],&quot;issued&quot;:{&quot;date-parts&quot;:[[1981]]},&quot;container-title-short&quot;:&quot;&quot;},&quot;isTemporary&quot;:false}],&quot;citationTag&quot;:&quot;MENDELEY_CITATION_v3_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&quot;},{&quot;citationID&quot;:&quot;MENDELEY_CITATION_32b94177-b003-4e88-a39b-a919777e487d&quot;,&quot;properties&quot;:{&quot;noteIndex&quot;:0},&quot;isEdited&quot;:false,&quot;manualOverride&quot;:{&quot;isManuallyOverridden&quot;:false,&quot;citeprocText&quot;:&quot;(Sriyana, 2022)&quot;,&quot;manualOverrideText&quot;:&quot;&quot;},&quot;citationItems&quot;:[{&quot;id&quot;:&quot;74557c6b-6d9b-3373-9537-24f04f5c390f&quot;,&quot;itemData&quot;:{&quot;type&quot;:&quot;article-journal&quot;,&quot;id&quot;:&quot;74557c6b-6d9b-3373-9537-24f04f5c390f&quot;,&quot;title&quot;:&quot;Fiscal and monetary policies to reduce inflation rate in Indonesia&quot;,&quot;author&quot;:[{&quot;family&quot;:&quot;Sriyana&quot;,&quot;given&quot;:&quot;Jaka&quot;,&quot;parse-names&quot;:false,&quot;dropping-particle&quot;:&quot;&quot;,&quot;non-dropping-particle&quot;:&quot;&quot;}],&quot;container-title&quot;:&quot;Jurnal Kebijakan Ekonomi dan Keuangan&quot;,&quot;DOI&quot;:&quot;10.20885/jkek.vol1.iss1.art8&quot;,&quot;issued&quot;:{&quot;date-parts&quot;:[[2022,8,14]]},&quot;page&quot;:&quot;82-91&quot;,&quot;abstract&quot;:&quot;Abstract\r Purpose – This paper analyzes the fiscal and monetary policies to control the inflation rate in Indonesia.\r Methods – This study uses a vector error correction model (VECM) to estimate the inflation model based on the annual data from 1991-2020.\r Findings – The results present the significant effects of fiscal and monetary variables on the inflation rate. These findings reveal that the fiscal and monetary policies are inflationary in this country. Specifically, government spending and narrow money significantly contribute to the increase in the inflation rate. The research also finds the impacts of those variables have occurred over a long period. This study asserts that the government budget deficit does not affect the domestic price level. This paper concludes that domestic inflation is closely related to both the fiscal and monetary financial sectors.\r Implication – The government, as well as the central bank, should apply prudent economic policies to control the inflation rate.\r Originality –This paper confirms the Fiscal Theory of Price Level (FTPL) as well as the quantity theory of money or the Cambridge equation.\r  \r Abstrak\r Tujuan – Artikel ini menganalisis kebijakan fiskal dan moneter untuk mengendalikan laju inflasi di Indonesia.\r Metode – Penelitian ini menggunakan model VECM untuk meng­analisis model inflasi berdasarkan data tahunan dari tahun 1991-2020.\r Temuan – Hasil analisis menunjukkan pengaruh signifikan variabel fiskal dan moneter terhadap tingkat inflasi. Temuan ini mengungkapkan bahwa kebijakan fiskal dan moneter bersifat inflasioner. Secara khusus, pengeluaran pemerintah dan uang sempit berkontribusi secara signifikan terhadap peningkatan tingkat inflasi. Penelitian ini juga menemukan bahwa dampak dari kebijakan tersebut telah terjadi dalam jangka waktu yang lama. Studi ini juga menemukan bahwa defisit anggaran pemerintah tidak mempengaruhi tingkat harga domestik. Hasil penelitian ini menyimpulkan bahwa inflasi domestik terkait erat dengan sektor keuangan fiskal dan moneter.\r Implikasi – Pemerintah serta bank sentral harus menerapkan kebijakan ekonomi yang hati-hati dan bersifat ketat untuk mengendalikan tingkat inflasi.\r Orisinalitas – Hasil studi ini mendukung teori fiskal penyebab inflasi (Fiscal Theory of Price Level) dan teori kuantitas uang atau persamaan Cambridge.&quot;,&quot;publisher&quot;:&quot;Universitas Islam Indonesia (Islamic University of Indonesia)&quot;,&quot;container-title-short&quot;:&quot;&quot;},&quot;isTemporary&quot;:false}],&quot;citationTag&quot;:&quot;MENDELEY_CITATION_v3_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&quot;},{&quot;citationID&quot;:&quot;MENDELEY_CITATION_d5c140e1-59bd-45e7-8fde-29b08f9cd9e6&quot;,&quot;properties&quot;:{&quot;noteIndex&quot;:0},&quot;isEdited&quot;:false,&quot;manualOverride&quot;:{&quot;isManuallyOverridden&quot;:false,&quot;citeprocText&quot;:&quot;(Mael et al., 2021)&quot;,&quot;manualOverrideText&quot;:&quot;&quot;},&quot;citationItems&quot;:[{&quot;id&quot;:&quot;c63b94b5-f4ce-3f99-8628-3ffabca7fc5d&quot;,&quot;itemData&quot;:{&quot;type&quot;:&quot;article-journal&quot;,&quot;id&quot;:&quot;c63b94b5-f4ce-3f99-8628-3ffabca7fc5d&quot;,&quot;title&quot;:&quot;Fiscal and Monetary Policy Interaction Post Indonesian Institutional Transformation: Vector Autoregression Approach&quot;,&quot;author&quot;:[{&quot;family&quot;:&quot;Mael&quot;,&quot;given&quot;:&quot;Ariadne&quot;,&quot;parse-names&quot;:false,&quot;dropping-particle&quot;:&quot;&quot;,&quot;non-dropping-particle&quot;:&quot;&quot;},{&quot;family&quot;:&quot;Putri&quot;,&quot;given&quot;:&quot;Novariani&quot;,&quot;parse-names&quot;:false,&quot;dropping-particle&quot;:&quot;&quot;,&quot;non-dropping-particle&quot;:&quot;&quot;},{&quot;family&quot;:&quot;Kusumastuti&quot;,&quot;given&quot;:&quot;Yani&quot;,&quot;parse-names&quot;:false,&quot;dropping-particle&quot;:&quot;&quot;,&quot;non-dropping-particle&quot;:&quot;&quot;}],&quot;DOI&quot;:&quot;10.31685/kek.V6.1&quot;,&quot;URL&quot;:&quot;https://doi.org/10.31685/kek.V6.1&quot;,&quot;issued&quot;:{&quot;date-parts&quot;:[[2021]]},&quot;abstract&quot;:&quot;A consensus to separate fiscal and monetary authority emerged to achieve optimal macroeconomic conditions through credible policy. This paper aims to analyze the interaction between fiscal-monetary policy after the Indonesian institutional transformation in 1999 and its impact on GDP. Using the Vector Autoregression approach, this study utilizes seven variables from 1999 Q2-2019 Q4: government revenue, spending, and financing as fiscal policy variables; interest rate and money supply as monetary policy variables; GDP as a macroeconomic variable; and CPI to deflate all variables. This study showed that fiscal and monetary policy in Indonesia tends to have a mixed interaction: the fiscal and monetary authorities not only jointly implement the same expansionary or contractive policy but also mutually substitute or implement opposing policies simultaneously. In terms of interactions with GDP, fiscal policy showed a stronger and more direct influence than monetary policy. Increasing government spending and money supply while reducing or maintaining the stability of government revenues, government financing, and interest rates is the best policy mix to support GDP growth in the short run. In the long run, all variables in the study, except money supply, support GDP growth. The results emphasize strengthening policy framework and coordination to achieve optimal GDP growth.&quot;,&quot;container-title-short&quot;:&quot;&quot;},&quot;isTemporary&quot;:false}],&quot;citationTag&quot;:&quot;MENDELEY_CITATION_v3_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&quot;},{&quot;citationID&quot;:&quot;MENDELEY_CITATION_a48618e2-e5dc-438a-80bc-dddb50de543f&quot;,&quot;properties&quot;:{&quot;noteIndex&quot;:0},&quot;isEdited&quot;:false,&quot;manualOverride&quot;:{&quot;isManuallyOverridden&quot;:false,&quot;citeprocText&quot;:&quot;(Warjiyo &amp;#38; Juhro, 2021)&quot;,&quot;manualOverrideText&quot;:&quot;&quot;},&quot;citationItems&quot;:[{&quot;id&quot;:&quot;fda77862-97d1-3b1c-965d-3034d8c18e51&quot;,&quot;itemData&quot;:{&quot;type&quot;:&quot;report&quot;,&quot;id&quot;:&quot;fda77862-97d1-3b1c-965d-3034d8c18e51&quot;,&quot;title&quot;:&quot;Central Bank Policy Mix: Issues, Challenges, and Policy Responses Handbook of Central Banking Studies&quot;,&quot;author&quot;:[{&quot;family&quot;:&quot;Warjiyo&quot;,&quot;given&quot;:&quot;Perry&quot;,&quot;parse-names&quot;:false,&quot;dropping-particle&quot;:&quot;&quot;,&quot;non-dropping-particle&quot;:&quot;&quot;},{&quot;family&quot;:&quot;Juhro&quot;,&quot;given&quot;:&quot;Solikin M&quot;,&quot;parse-names&quot;:false,&quot;dropping-particle&quot;:&quot;&quot;,&quot;non-dropping-particle&quot;:&quot;&quot;}],&quot;issued&quot;:{&quot;date-parts&quot;:[[2021,7]]},&quot;container-title-short&quot;:&quot;&quot;},&quot;isTemporary&quot;:false}],&quot;citationTag&quot;:&quot;MENDELEY_CITATION_v3_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&quot;},{&quot;citationID&quot;:&quot;MENDELEY_CITATION_da51abea-cf73-4294-897e-baa9d5a2e439&quot;,&quot;properties&quot;:{&quot;noteIndex&quot;:0},&quot;isEdited&quot;:false,&quot;manualOverride&quot;:{&quot;isManuallyOverridden&quot;:false,&quot;citeprocText&quot;:&quot;(Afonso &amp;#38; Sousa, 2012)&quot;,&quot;manualOverrideText&quot;:&quot;&quot;},&quot;citationItems&quot;:[{&quot;id&quot;:&quot;e8cdfbd5-6acf-3198-b54c-e73a5a9272e2&quot;,&quot;itemData&quot;:{&quot;type&quot;:&quot;article-journal&quot;,&quot;id&quot;:&quot;e8cdfbd5-6acf-3198-b54c-e73a5a9272e2&quot;,&quot;title&quot;:&quot;The macroeconomic effects of fiscal policy&quot;,&quot;author&quot;:[{&quot;family&quot;:&quot;Afonso&quot;,&quot;given&quot;:&quot;António&quot;,&quot;parse-names&quot;:false,&quot;dropping-particle&quot;:&quot;&quot;,&quot;non-dropping-particle&quot;:&quot;&quot;},{&quot;family&quot;:&quot;Sousa&quot;,&quot;given&quot;:&quot;Ricardo M.&quot;,&quot;parse-names&quot;:false,&quot;dropping-particle&quot;:&quot;&quot;,&quot;non-dropping-particle&quot;:&quot;&quot;}],&quot;container-title&quot;:&quot;Applied Economics&quot;,&quot;container-title-short&quot;:&quot;Appl. Econ.&quot;,&quot;DOI&quot;:&quot;10.1080/00036846.2011.591732&quot;,&quot;ISSN&quot;:&quot;00036846&quot;,&quot;issued&quot;:{&quot;date-parts&quot;:[[2012,12]]},&quot;page&quot;:&quot;4439-4454&quot;,&quot;abstract&quot;:&quot;We investigate the macroeconomic effects of fiscal policy using a Bayesian Structural Vector Autoregression (B-SVAR) approach. We identify fiscal policy shocks via a partial identification scheme, but also: (i) include the feedback from government debt; (ii) look at the impact on the composition of output; (iii) assess the effects on asset markets; (iv) use quarterly data; and (v) analyse empirical evidence from the US, the UK, Germany and Italy. The results show that government spending shocks, in general, have a small effect on Gross Domestic Product (GDP); lead to important 'crowding-out' effects; have a varied impact on housing prices and generate a quick fall in stock prices. Government revenue shocks generate a mixed effect on housing prices and a small and positive effect on stock prices. The empirical evidence also suggests that it is important to explicitly consider the government debt dynamics in the model. © 2012 Taylor &amp; Francis.&quot;,&quot;issue&quot;:&quot;34&quot;,&quot;volume&quot;:&quot;44&quot;},&quot;isTemporary&quot;:false}],&quot;citationTag&quot;:&quot;MENDELEY_CITATION_v3_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&quot;},{&quot;citationID&quot;:&quot;MENDELEY_CITATION_0987a026-ad7e-4271-acf4-56618e9175b6&quot;,&quot;properties&quot;:{&quot;noteIndex&quot;:0},&quot;isEdited&quot;:false,&quot;manualOverride&quot;:{&quot;isManuallyOverridden&quot;:false,&quot;citeprocText&quot;:&quot;(Clarida et al., 1999)&quot;,&quot;manualOverrideText&quot;:&quot;&quot;},&quot;citationTag&quot;:&quot;MENDELEY_CITATION_v3_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&quot;,&quot;citationItems&quot;:[{&quot;id&quot;:&quot;539949e8-c904-318a-bff4-5d43fe07e2b2&quot;,&quot;itemData&quot;:{&quot;type&quot;:&quot;article-journal&quot;,&quot;id&quot;:&quot;539949e8-c904-318a-bff4-5d43fe07e2b2&quot;,&quot;title&quot;:&quot;The science of monetary policy: A new Keynesian perspective&quot;,&quot;author&quot;:[{&quot;family&quot;:&quot;Clarida&quot;,&quot;given&quot;:&quot;Richard&quot;,&quot;parse-names&quot;:false,&quot;dropping-particle&quot;:&quot;&quot;,&quot;non-dropping-particle&quot;:&quot;&quot;},{&quot;family&quot;:&quot;Galí&quot;,&quot;given&quot;:&quot;Jordi&quot;,&quot;parse-names&quot;:false,&quot;dropping-particle&quot;:&quot;&quot;,&quot;non-dropping-particle&quot;:&quot;&quot;},{&quot;family&quot;:&quot;Gertler&quot;,&quot;given&quot;:&quot;Mark&quot;,&quot;parse-names&quot;:false,&quot;dropping-particle&quot;:&quot;&quot;,&quot;non-dropping-particle&quot;:&quot;&quot;}],&quot;container-title&quot;:&quot;Journal of Economic Literature&quot;,&quot;container-title-short&quot;:&quot;J. Econ. Lit.&quot;,&quot;DOI&quot;:&quot;10.1257/jel.37.4.1661&quot;,&quot;ISSN&quot;:&quot;00220515&quot;,&quot;issued&quot;:{&quot;date-parts&quot;:[[1999]]},&quot;page&quot;:&quot;1661-1707&quot;,&quot;publisher&quot;:&quot;American Economic Association&quot;,&quot;issue&quot;:&quot;4&quot;,&quot;volume&quot;:&quot;37&quot;},&quot;isTemporary&quot;:false}]},{&quot;citationID&quot;:&quot;MENDELEY_CITATION_04df35d9-9833-468b-a649-c89623513b67&quot;,&quot;properties&quot;:{&quot;noteIndex&quot;:0},&quot;isEdited&quot;:false,&quot;manualOverride&quot;:{&quot;isManuallyOverridden&quot;:false,&quot;citeprocText&quot;:&quot;(Mishkin, 2011)&quot;,&quot;manualOverrideText&quot;:&quot;&quot;},&quot;citationTag&quot;:&quot;MENDELEY_CITATION_v3_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&quot;,&quot;citationItems&quot;:[{&quot;id&quot;:&quot;385de926-9c24-3bf2-8f38-958f456b419a&quot;,&quot;itemData&quot;:{&quot;type&quot;:&quot;book&quot;,&quot;id&quot;:&quot;385de926-9c24-3bf2-8f38-958f456b419a&quot;,&quot;title&quot;:&quot;The economics of money, banking and financial markets&quot;,&quot;author&quot;:[{&quot;family&quot;:&quot;Mishkin&quot;,&quot;given&quot;:&quot;Frederic S..&quot;,&quot;parse-names&quot;:false,&quot;dropping-particle&quot;:&quot;&quot;,&quot;non-dropping-particle&quot;:&quot;&quot;}],&quot;ISBN&quot;:&quot;9780321584717&quot;,&quot;issued&quot;:{&quot;date-parts&quot;:[[2011]]},&quot;number-of-pages&quot;:&quot;748&quot;,&quot;abstract&quot;:&quot;4th Canadian ed. \&quot;For Second or Third Level Courses in Money and Banking. Never has the study of Money and Banking been as relevant as it is today. The Economics of Money, Banking, and the Financial Markets gives the most comprehensive coverage on the current financial crisis in relation to financial markets, financial institutions, the central bank, monetary policy and fiscal policy. The authoritative approach, use of real life examples and effective pedagogy have been maintained in this issue while an increased focus on finance has been introduced. For the first time, MyEconLab will be packaged with the text at no extra cost. MyEconLab is a premier online assessment and tutorial system, pairing rich online content with innovative learning tools.\&quot; Publisher's note. PART I Introduction : 1 Why Study Money, Banking, and Financial Markets? -- 2 An Overview of the Financial System -- 3 What Is Money? -- PART II Financial Markets : 4 Understanding Interest Rates -- 5 The Behaviour of Interest Rates -- 6 The Risk and Term Structure of Interest Rates -- 7 The Stock Market, the Theory of Rational Expectations, and Efficient Markets -- PART III Financial Institutions : 8 An Economic Analysis of Financial Structure -- 9 Financial Crises and the Subprime Meltdown -- 10 Economic Analysis of Financial Regulation -- 11 Banking Industry: Structure and Competition -- 12 Nonbank Financial Institutions -- PART IV The Management of Financial Institutions : 13 Banking and the Management of Financial Institutions -- 14 Risk Management with Financial Derivatives -- PART V Central Banking and the Conduct of Monetary Policy : 15 Central Banks and the Bank of Canada -- 16 The Money Supply Process -- 17 The Tools of Monetary Policy -- 18 The Conduct of Monetary Policy: Strategy and Tactics -- PART VI International Finance and Monetary Policy : 19 The Foreign Exchange Market -- 20 The International Financial System -- PART VII Monetary Theory : 21 The Demand for Money -- 22 The ISLM Model -- 23 Monetary and Fiscal Policy in the ISLM Model -- 24 Aggregate Demand and Supply Analysis -- 25 Transmission Mechanisms of Monetary Policy: The Evidence -- 26 Money and Inflation -- 27 Rational Expectations: Implications for Policy -- Glossary -- Index -- Web Appendix to Chapter 1: Defining Aggregate Output, Income, the Price Level, and the Inflation Rate -- Web Appendix to Chapter 4: Measuring Interest Rate Risk: Duration -- Web Appendix 1 to Chapter 5: Models of Asset Pricing -- Web Appendix 2 to Chapter 5: Applying the Asset Market Approach to a Commodity Market: The Case of Gold -- Web Appendix to Chapter 7: Evidence on the Efficient Market Hypothesis -- Web Appendix to Chapter 10:Banking Crises Throughout the World -- Web Appendix 1 to Chapter 13:Measuring Bank Performance -- Web Appendix 2 to Chapter 13:Nonbanking Financial Institutions and Duration Analysis -- Web Appendix 1 to Chapter 16:The Bank of Canada's Balance Sheet and the Monetary Base -- Web Appendix 2 to Chapter 16:The M2+ Money Multiplier -- Web Appendix to Chapter 20:The Canadian Balance of Payments -- Web Appendix 1 to Chapter 21:A Mathematical Treatment of the Baumol-Tobin and Tobin Mean Variance Models -- Web Appendix 2 to Chapter 21:Empirical Evidence on the Demand for Money -- Web Appendix to Chapter 23:Algebra of the ISLM Model -- Web Mini-Case for Chapter 4:Interest Rates, Bond Yields, and Duration -- Web Mini-Case for Chapter 5:The Behaviour of Interest Rates -- Web Mini-Case for Chapter 6:Yield Curve Hypotheses and the Effects of Economic Events -- Web Mini-Case for Chapter 7:Adaptive Expectations, Rational Expectations, and Optimal Forecasts -- Web Mini-Case for Chapter 11: The Changing Landscape for Domestic and Global Financial Markets -- Web Mini-Case 1 for Chapter 13:Bank Performance Analysis -- Web Mini-Case 2 for Chapter 13:Calculating and Comparing Gap, Duration, and Risk Management Alternatives -- Web Mini-Case for Chapter 14: Micro Hedge, Macro Hedge, Managing Interest Rate Risk, and Duration -- Web Mini-Case for Chapter 19: The Foreign Exchange Market and Financial Derivatives&quot;,&quot;publisher&quot;:&quot;Pearson Canada&quot;,&quot;container-title-short&quot;:&quot;&quot;},&quot;isTemporary&quot;:false}]},{&quot;citationID&quot;:&quot;MENDELEY_CITATION_3f547565-8a59-48a1-ae41-0f10331650ff&quot;,&quot;properties&quot;:{&quot;noteIndex&quot;:0},&quot;isEdited&quot;:false,&quot;manualOverride&quot;:{&quot;isManuallyOverridden&quot;:false,&quot;citeprocText&quot;:&quot;(Blanchard &amp;#38; Perotti, 2002)&quot;,&quot;manualOverrideText&quot;:&quot;&quot;},&quot;citationTag&quot;:&quot;MENDELEY_CITATION_v3_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&quot;,&quot;citationItems&quot;:[{&quot;id&quot;:&quot;d9a58d39-dde8-3f11-97fa-f4df61fb86e3&quot;,&quot;itemData&quot;:{&quot;type&quot;:&quot;article-journal&quot;,&quot;id&quot;:&quot;d9a58d39-dde8-3f11-97fa-f4df61fb86e3&quot;,&quot;title&quot;:&quot;An empirical characterization of the dynamic effects of changes in government spending and taxes on output&quot;,&quot;author&quot;:[{&quot;family&quot;:&quot;Blanchard&quot;,&quot;given&quot;:&quot;Olivier&quot;,&quot;parse-names&quot;:false,&quot;dropping-particle&quot;:&quot;&quot;,&quot;non-dropping-particle&quot;:&quot;&quot;},{&quot;family&quot;:&quot;Perotti&quot;,&quot;given&quot;:&quot;Roberto&quot;,&quot;parse-names&quot;:false,&quot;dropping-particle&quot;:&quot;&quot;,&quot;non-dropping-particle&quot;:&quot;&quot;}],&quot;container-title&quot;:&quot;Quarterly Journal of Economics&quot;,&quot;DOI&quot;:&quot;10.1162/003355302320935043&quot;,&quot;ISSN&quot;:&quot;00335533&quot;,&quot;issued&quot;:{&quot;date-parts&quot;:[[2002,11,1]]},&quot;page&quot;:&quot;1329-1368&quot;,&quot;abstract&quot;:&quot;This paper characterizes the dynamic effects of shocks in government spending and taxes on U.S. activity in the postwar period. Et does so by using a mixed structural VAR/event study approach. Identification is achieved by using institutional information about the tax and transfer systems to identify the automatic response of taxes and spending to activity, and, by implication, to infer fiscal shocks. The results consistently show positive government spending shocks as having a positive effect on output, and positive tax shocks as having a negative effect. One result has a distinctly nonstandard flavor: both increases in taxes and increases in government spending have a strong negative effect on investment spending.&quot;,&quot;publisher&quot;:&quot;Oxford University Press&quot;,&quot;issue&quot;:&quot;4&quot;,&quot;volume&quot;:&quot;117&quot;,&quot;container-title-short&quot;:&quot;&quot;},&quot;isTemporary&quot;:false}]},{&quot;citationID&quot;:&quot;MENDELEY_CITATION_42746097-f737-412c-a526-c25d9edb0379&quot;,&quot;properties&quot;:{&quot;noteIndex&quot;:0},&quot;isEdited&quot;:false,&quot;manualOverride&quot;:{&quot;isManuallyOverridden&quot;:false,&quot;citeprocText&quot;:&quot;(Ito &amp;#38; Sato, 2008)&quot;,&quot;manualOverrideText&quot;:&quot;&quot;},&quot;citationTag&quot;:&quot;MENDELEY_CITATION_v3_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&quot;,&quot;citationItems&quot;:[{&quot;id&quot;:&quot;d1218c3d-65c9-3024-a5b4-808ad6789d12&quot;,&quot;itemData&quot;:{&quot;type&quot;:&quot;article-journal&quot;,&quot;id&quot;:&quot;d1218c3d-65c9-3024-a5b4-808ad6789d12&quot;,&quot;title&quot;:&quot;Exchange rate changes and inflation in post-crisis Asian economies: Vector autoregression analysis of the exchange rate pass-through&quot;,&quot;author&quot;:[{&quot;family&quot;:&quot;Ito&quot;,&quot;given&quot;:&quot;Takatoshi&quot;,&quot;parse-names&quot;:false,&quot;dropping-particle&quot;:&quot;&quot;,&quot;non-dropping-particle&quot;:&quot;&quot;},{&quot;family&quot;:&quot;Sato&quot;,&quot;given&quot;:&quot;Kiyotaka&quot;,&quot;parse-names&quot;:false,&quot;dropping-particle&quot;:&quot;&quot;,&quot;non-dropping-particle&quot;:&quot;&quot;}],&quot;container-title&quot;:&quot;Journal of Money, Credit and Banking&quot;,&quot;container-title-short&quot;:&quot;J. Money Credit Bank.&quot;,&quot;DOI&quot;:&quot;10.1111/j.1538-4616.2008.00165.x&quot;,&quot;ISSN&quot;:&quot;00222879&quot;,&quot;issued&quot;:{&quot;date-parts&quot;:[[2008,10]]},&quot;page&quot;:&quot;1407-1438&quot;,&quot;abstract&quot;:&quot;Macro-economic consequences of large currency depreciations among the crisis-hit Asian economies varied from one country to another. Inflation did not soar after the Asian currency crisis of 1997-98 in most crisis-hit countries except Indonesia where high inflation followed a very large nominal depreciation of the rupiah. The high inflation meant a loss of price competitive advantage, a key for economic recovery from a crisis. This paper examines the pass-through effects of exchange rate changes on the domestic prices in the East Asian economies using a vector autoregression analysis. The main results are as follows: (i) the degree of exchange rate pass-through to import prices was quite high in the crisis-hit economies; (ii) the pass-through to Consumer Price Index (CPI) was generally low, with a notable exception of Indonesia; and (iii) in Indonesia, both the impulse response of monetary policy variables to exchange rate shocks and that of CPI to monetary policy shocks were positive, large, and statistically significant. Thus, Indonesia's accommodative monetary policy, coupled with the high degree of CPI responsiveness to exchange rate changes was an important factor in the inflation-depreciation spiral in the wake of the currency crisis. © 2008 The Ohio State University.&quot;,&quot;issue&quot;:&quot;7&quot;,&quot;volume&quot;:&quot;40&quot;},&quot;isTemporary&quot;:false}]},{&quot;citationID&quot;:&quot;MENDELEY_CITATION_e9ae7956-9ee5-4621-a0a6-4079eaf7e544&quot;,&quot;properties&quot;:{&quot;noteIndex&quot;:0},&quot;isEdited&quot;:false,&quot;manualOverride&quot;:{&quot;isManuallyOverridden&quot;:false,&quot;citeprocText&quot;:&quot;(Phillips, 1958)&quot;,&quot;manualOverrideText&quot;:&quot;&quot;},&quot;citationTag&quot;:&quot;MENDELEY_CITATION_v3_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&quot;,&quot;citationItems&quot;:[{&quot;id&quot;:&quot;fb0d38b2-7cd7-381f-a586-18632b65202a&quot;,&quot;itemData&quot;:{&quot;type&quot;:&quot;article-journal&quot;,&quot;id&quot;:&quot;fb0d38b2-7cd7-381f-a586-18632b65202a&quot;,&quot;title&quot;:&quot;The Relation Between Unemployment and the Rate of Change of Money Wage Rates in the United Kingdom, 1861–19571&quot;,&quot;author&quot;:[{&quot;family&quot;:&quot;Phillips&quot;,&quot;given&quot;:&quot;A. W.&quot;,&quot;parse-names&quot;:false,&quot;dropping-particle&quot;:&quot;&quot;,&quot;non-dropping-particle&quot;:&quot;&quot;}],&quot;container-title&quot;:&quot;Economica&quot;,&quot;container-title-short&quot;:&quot;Economica&quot;,&quot;DOI&quot;:&quot;10.1111/j.1468-0335.1958.tb00003.x&quot;,&quot;ISSN&quot;:&quot;14680335&quot;,&quot;issued&quot;:{&quot;date-parts&quot;:[[1958]]},&quot;page&quot;:&quot;283-299&quot;,&quot;issue&quot;:&quot;100&quot;,&quot;volume&quot;:&quot;25&quot;},&quot;isTemporary&quot;:false}]},{&quot;citationID&quot;:&quot;MENDELEY_CITATION_1079907b-ffc3-4f1b-94f9-1ea5c7646bc3&quot;,&quot;properties&quot;:{&quot;noteIndex&quot;:0},&quot;isEdited&quot;:false,&quot;manualOverride&quot;:{&quot;isManuallyOverridden&quot;:false,&quot;citeprocText&quot;:&quot;(Samuelson, 1960)&quot;,&quot;manualOverrideText&quot;:&quot;&quot;},&quot;citationTag&quot;:&quot;MENDELEY_CITATION_v3_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&quot;,&quot;citationItems&quot;:[{&quot;id&quot;:&quot;974f6806-5a03-3c53-83cc-2463fa0c6d2d&quot;,&quot;itemData&quot;:{&quot;type&quot;:&quot;article-journal&quot;,&quot;id&quot;:&quot;974f6806-5a03-3c53-83cc-2463fa0c6d2d&quot;,&quot;title&quot;:&quot;Analytical aspects of anti-inflation policy&quot;,&quot;author&quot;:[{&quot;family&quot;:&quot;Samuelson&quot;,&quot;given&quot;:&quot;P. A., &amp; Solow, R. M.&quot;,&quot;parse-names&quot;:false,&quot;dropping-particle&quot;:&quot;&quot;,&quot;non-dropping-particle&quot;:&quot;&quot;}],&quot;container-title&quot;:&quot;American Economic Review&quot;,&quot;issued&quot;:{&quot;date-parts&quot;:[[1960]]},&quot;page&quot;:&quot;177-194&quot;,&quot;issue&quot;:&quot;50(2)&quot;,&quot;container-title-short&quot;:&quot;&quot;},&quot;isTemporary&quot;:false}]},{&quot;citationID&quot;:&quot;MENDELEY_CITATION_0ef2969b-72ec-4922-b73b-4a7d8b63bb77&quot;,&quot;properties&quot;:{&quot;noteIndex&quot;:0},&quot;isEdited&quot;:false,&quot;manualOverride&quot;:{&quot;isManuallyOverridden&quot;:false,&quot;citeprocText&quot;:&quot;(Taylor, 1993)&quot;,&quot;manualOverrideText&quot;:&quot;&quot;},&quot;citationTag&quot;:&quot;MENDELEY_CITATION_v3_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&quot;,&quot;citationItems&quot;:[{&quot;id&quot;:&quot;a3f2bc73-8983-3b1d-9de5-d450b8e838c0&quot;,&quot;itemData&quot;:{&quot;type&quot;:&quot;article-journal&quot;,&quot;id&quot;:&quot;a3f2bc73-8983-3b1d-9de5-d450b8e838c0&quot;,&quot;title&quot;:&quot;Discretion versus policy rules in practice&quot;,&quot;author&quot;:[{&quot;family&quot;:&quot;Taylor&quot;,&quot;given&quot;:&quot;John B.&quot;,&quot;parse-names&quot;:false,&quot;dropping-particle&quot;:&quot;&quot;,&quot;non-dropping-particle&quot;:&quot;&quot;}],&quot;container-title&quot;:&quot;Carnegie-Rochester Confer. Series on Public Policy&quot;,&quot;DOI&quot;:&quot;10.1016/0167-2231(93)90009-L&quot;,&quot;ISSN&quot;:&quot;01672231&quot;,&quot;issued&quot;:{&quot;date-parts&quot;:[[1993]]},&quot;page&quot;:&quot;195-214&quot;,&quot;abstract&quot;:&quot;This paper examines how recent econometric policy evaluation research on monetary policy rules can be applied in a practical policymaking environment. According to this research, good policy rules typically call for changes in the federal funds rate in response to changes in the price level or changes in real income. An objective of the paper is to preserve the concept of such a policy rule in a policy environment where it is practically impossible to follow mechanically any particular algebraic formula that describes the policy rule. The discussion centers around a hypothetical but representative policy rule much like that advocated in recent research. This rule closely approximates Federal Reserve policy during the past several years. Two case studies-German unification and the 1990 oil-price shock-that had a bearing on the operation of monetary policy in recent years are used to illustrate how such a policy rule might work in practice. © 1993.&quot;,&quot;issue&quot;:&quot;C&quot;,&quot;volume&quot;:&quot;39&quot;,&quot;container-title-short&quot;:&quot;&quot;},&quot;isTemporary&quot;:false}]},{&quot;citationID&quot;:&quot;MENDELEY_CITATION_8be47608-29bd-48bb-822c-c05ab9821391&quot;,&quot;properties&quot;:{&quot;noteIndex&quot;:0},&quot;isEdited&quot;:false,&quot;manualOverride&quot;:{&quot;isManuallyOverridden&quot;:false,&quot;citeprocText&quot;:&quot;(Woodford, 2009)&quot;,&quot;manualOverrideText&quot;:&quot;&quot;},&quot;citationTag&quot;:&quot;MENDELEY_CITATION_v3_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&quot;,&quot;citationItems&quot;:[{&quot;id&quot;:&quot;7b16c621-59c6-3f9f-bb03-1e5f4ac369cb&quot;,&quot;itemData&quot;:{&quot;type&quot;:&quot;book&quot;,&quot;id&quot;:&quot;7b16c621-59c6-3f9f-bb03-1e5f4ac369cb&quot;,&quot;title&quot;:&quot;Interest and Prices : Foundations of a Theory of Monetary Policy&quot;,&quot;author&quot;:[{&quot;family&quot;:&quot;Woodford&quot;,&quot;given&quot;:&quot;Michael.&quot;,&quot;parse-names&quot;:false,&quot;dropping-particle&quot;:&quot;&quot;,&quot;non-dropping-particle&quot;:&quot;&quot;}],&quot;ISBN&quot;:&quot;9780691010496&quot;,&quot;issued&quot;:{&quot;date-parts&quot;:[[2009]]},&quot;number-of-pages&quot;:&quot;804&quot;,&quot;abstract&quot;:&quot;With the collapse of the Bretton Woods system, any pretense of a connection of the world's currencies to any real commodity has been abandoned. Yet since the 1980s, most central banks have abandoned money-growth targets as practical guidelines for monetary policy as well. How then can pure \&quot;fiat\&quot; currencies be managed so as to create confidence in the stability of national units of account?Interest and Prices seeks to provide theoretical foundations for a rule-based approach to monetary policy suitable for a world of instant communications and ever more efficient financial markets. In such a w. COVER; TITLE; COPYRIGHT; CONTENTS; PREFACE; 1 The Return of Monetary Rules; PART I: Analytical Framework; PART II: Optimal Policy; APPENDIXES; REFERENCES; INDEX.&quot;,&quot;publisher&quot;:&quot;Princeton University Press&quot;,&quot;container-title-short&quot;:&quot;&quot;},&quot;isTemporary&quot;:false}]},{&quot;citationID&quot;:&quot;MENDELEY_CITATION_33b16739-f64a-415b-ba30-4124565f418e&quot;,&quot;properties&quot;:{&quot;noteIndex&quot;:0},&quot;isEdited&quot;:false,&quot;manualOverride&quot;:{&quot;isManuallyOverridden&quot;:false,&quot;citeprocText&quot;:&quot;(Ramey, 2011)&quot;,&quot;manualOverrideText&quot;:&quot;&quot;},&quot;citationTag&quot;:&quot;MENDELEY_CITATION_v3_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&quot;,&quot;citationItems&quot;:[{&quot;id&quot;:&quot;8585c71a-1f4f-3e58-b10e-519280b01b48&quot;,&quot;itemData&quot;:{&quot;type&quot;:&quot;article-journal&quot;,&quot;id&quot;:&quot;8585c71a-1f4f-3e58-b10e-519280b01b48&quot;,&quot;title&quot;:&quot;Identifying government spending shocks: It's all in the timing&quot;,&quot;author&quot;:[{&quot;family&quot;:&quot;Ramey&quot;,&quot;given&quot;:&quot;Valerie A.&quot;,&quot;parse-names&quot;:false,&quot;dropping-particle&quot;:&quot;&quot;,&quot;non-dropping-particle&quot;:&quot;&quot;}],&quot;container-title&quot;:&quot;Quarterly Journal of Economics&quot;,&quot;DOI&quot;:&quot;10.1093/qje/qjq008&quot;,&quot;ISSN&quot;:&quot;00335533&quot;,&quot;issued&quot;:{&quot;date-parts&quot;:[[2011,2]]},&quot;page&quot;:&quot;1-50&quot;,&quot;abstract&quot;:&quot;Standard vector auto regression (VAR) identification methods find that government spending raises consumption and real wages; the Ramey-Shapiro narrative approach finds the opposite. I show that a key difference in the approaches is the timing. Both professional forecasts and the narrative approach shocks Granger-cause the VAR shocks, implying that these shocks are missing the timing of the news. Motivated by the importance of measuring anticipations, I use a narrative method to construct richer government spending news variables from1939 to 2008. The implied government spending multipliers range from0.6 to 1.2. © The Author(s) 2011.&quot;,&quot;issue&quot;:&quot;1&quot;,&quot;volume&quot;:&quot;126&quot;,&quot;container-title-short&quot;:&quot;&quot;},&quot;isTemporary&quot;:false}]},{&quot;citationID&quot;:&quot;MENDELEY_CITATION_821e503a-bd94-4b91-ae31-1e553a611808&quot;,&quot;properties&quot;:{&quot;noteIndex&quot;:0},&quot;isEdited&quot;:false,&quot;manualOverride&quot;:{&quot;isManuallyOverridden&quot;:false,&quot;citeprocText&quot;:&quot;(Kaminsky et al., 2004)&quot;,&quot;manualOverrideText&quot;:&quot;&quot;},&quot;citationTag&quot;:&quot;MENDELEY_CITATION_v3_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&quot;,&quot;citationItems&quot;:[{&quot;id&quot;:&quot;26081dd6-c480-3430-bbbe-34fdd0f856e6&quot;,&quot;itemData&quot;:{&quot;type&quot;:&quot;article-journal&quot;,&quot;id&quot;:&quot;26081dd6-c480-3430-bbbe-34fdd0f856e6&quot;,&quot;title&quot;:&quot;When it rains, it pours: Procyclical capital flows and macroeconomic policies&quot;,&quot;author&quot;:[{&quot;family&quot;:&quot;Kaminsky&quot;,&quot;given&quot;:&quot;Graciela L.&quot;,&quot;parse-names&quot;:false,&quot;dropping-particle&quot;:&quot;&quot;,&quot;non-dropping-particle&quot;:&quot;&quot;},{&quot;family&quot;:&quot;Reinhart&quot;,&quot;given&quot;:&quot;Carmen M.&quot;,&quot;parse-names&quot;:false,&quot;dropping-particle&quot;:&quot;&quot;,&quot;non-dropping-particle&quot;:&quot;&quot;},{&quot;family&quot;:&quot;Végh&quot;,&quot;given&quot;:&quot;Carlos A.&quot;,&quot;parse-names&quot;:false,&quot;dropping-particle&quot;:&quot;&quot;,&quot;non-dropping-particle&quot;:&quot;&quot;}],&quot;container-title&quot;:&quot;NBER Macroeconomics Annual&quot;,&quot;container-title-short&quot;:&quot;NBER Macroecon. Annu.&quot;,&quot;DOI&quot;:&quot;10.1086/ma.19.3585327&quot;,&quot;ISSN&quot;:&quot;08893365&quot;,&quot;issued&quot;:{&quot;date-parts&quot;:[[2004]]},&quot;page&quot;:&quot;12-53&quot;,&quot;abstract&quot;:&quot;Based on a sample of 104 countries, we document four key stylized facts regarding the interaction among capital flows, fiscal policy, and monetary policy. First, net capital inflows are procyclical (i.e., external borrowing increases in good times and falls in bad times) in most Organization for Economic Cooperation and Development (OECD) and developing countries. The procyclicality of net capital inflows is particularly strong for middle-high-income countries (emerging markets). Second, fiscal policy is procyclical (i.e., government spending increases in good times and falls in bad times) for the majority of developing countries. Third, for emerging markets, monetary policy appears to be procyclical (i.e., policy rates are lowered in good times and raised in bad times). Fourth, in developing countries - and particularly for emerging markets - periods of capital inflows are associated with expansionary macroeconomic policies and periods of capital outflows with contractionary macroeconomic policies. In such countries, therefore, when it rains, it does indeed pour.&quot;,&quot;publisher&quot;:&quot;MIT Press Journals&quot;,&quot;volume&quot;:&quot;19&quot;},&quot;isTemporary&quot;:false}]},{&quot;citationID&quot;:&quot;MENDELEY_CITATION_1a413468-8af0-4893-9405-26592f771157&quot;,&quot;properties&quot;:{&quot;noteIndex&quot;:0},&quot;isEdited&quot;:false,&quot;manualOverride&quot;:{&quot;isManuallyOverridden&quot;:false,&quot;citeprocText&quot;:&quot;(Dornbusch, 1976)&quot;,&quot;manualOverrideText&quot;:&quot;&quot;},&quot;citationTag&quot;:&quot;MENDELEY_CITATION_v3_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&quot;,&quot;citationItems&quot;:[{&quot;id&quot;:&quot;0120ce89-3509-3a87-a80a-da103d78e1ad&quot;,&quot;itemData&quot;:{&quot;type&quot;:&quot;article-journal&quot;,&quot;id&quot;:&quot;0120ce89-3509-3a87-a80a-da103d78e1ad&quot;,&quot;title&quot;:&quot;Expectations and Exchange Rate Dynamics&quot;,&quot;author&quot;:[{&quot;family&quot;:&quot;Dornbusch&quot;,&quot;given&quot;:&quot;Rudiger&quot;,&quot;parse-names&quot;:false,&quot;dropping-particle&quot;:&quot;&quot;,&quot;non-dropping-particle&quot;:&quot;&quot;}],&quot;container-title&quot;:&quot;Journal of Political Economy&quot;,&quot;issued&quot;:{&quot;date-parts&quot;:[[1976]]},&quot;issue&quot;:&quot;6&quot;,&quot;volume&quot;:&quot;84&quot;,&quot;container-title-short&quot;:&quot;&quot;},&quot;isTemporary&quot;:false}]},{&quot;citationID&quot;:&quot;MENDELEY_CITATION_ca3c7c96-8c71-4dd0-bc56-c5cf12972338&quot;,&quot;properties&quot;:{&quot;noteIndex&quot;:0},&quot;isEdited&quot;:false,&quot;manualOverride&quot;:{&quot;isManuallyOverridden&quot;:false,&quot;citeprocText&quot;:&quot;(Auerbach &amp;#38; Gorodnichenko, 2012)&quot;,&quot;manualOverrideText&quot;:&quot;&quot;},&quot;citationTag&quot;:&quot;MENDELEY_CITATION_v3_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&quot;,&quot;citationItems&quot;:[{&quot;id&quot;:&quot;f36baf36-d965-3d64-954f-c5e411d1b7f0&quot;,&quot;itemData&quot;:{&quot;type&quot;:&quot;article-journal&quot;,&quot;id&quot;:&quot;f36baf36-d965-3d64-954f-c5e411d1b7f0&quot;,&quot;title&quot;:&quot;Measuring the output responses to fiscal policy&quot;,&quot;author&quot;:[{&quot;family&quot;:&quot;Auerbach&quot;,&quot;given&quot;:&quot;Alan J.&quot;,&quot;parse-names&quot;:false,&quot;dropping-particle&quot;:&quot;&quot;,&quot;non-dropping-particle&quot;:&quot;&quot;},{&quot;family&quot;:&quot;Gorodnichenko&quot;,&quot;given&quot;:&quot;Yuriy&quot;,&quot;parse-names&quot;:false,&quot;dropping-particle&quot;:&quot;&quot;,&quot;non-dropping-particle&quot;:&quot;&quot;}],&quot;container-title&quot;:&quot;American Economic Journal: Economic Policy&quot;,&quot;container-title-short&quot;:&quot;Am. Econ. J. Econ. Policy&quot;,&quot;DOI&quot;:&quot;10.1257/pol.4.2.1&quot;,&quot;ISSN&quot;:&quot;19457731&quot;,&quot;issued&quot;:{&quot;date-parts&quot;:[[2012,5]]},&quot;page&quot;:&quot;1-27&quot;,&quot;abstract&quot;:&quot;A key issue in current research and policy is the size of fiscal multipliers when the economy is in recession. We provide three insights. First, using regime-switching models, we find large differences in the size of spending multipliers in recessions and expansions with fiscal policy being considerably more effective in recessions than in expansions. Second, we estimate multipliers for more disaggregate spending variables which behave differently relative to aggregate fiscal policy shocks, with military spending having the largest multiplier. Third, we show that controlling for predictable components of fiscal shocks tends to increase the size of the multipliers in recessions.&quot;,&quot;issue&quot;:&quot;2&quot;,&quot;volume&quot;:&quot;4&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41969-32C5-40A5-983A-1D8DDE9A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7355</Words>
  <Characters>41930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49187</CharactersWithSpaces>
  <SharedDoc>false</SharedDoc>
  <HLinks>
    <vt:vector size="6" baseType="variant">
      <vt:variant>
        <vt:i4>2293872</vt:i4>
      </vt:variant>
      <vt:variant>
        <vt:i4>0</vt:i4>
      </vt:variant>
      <vt:variant>
        <vt:i4>0</vt:i4>
      </vt:variant>
      <vt:variant>
        <vt:i4>5</vt:i4>
      </vt:variant>
      <vt:variant>
        <vt:lpwstr>mailto:anif_chawa@ub.ac.id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 Indah Sari</dc:creator>
  <cp:lastModifiedBy>LENOVO</cp:lastModifiedBy>
  <cp:revision>5</cp:revision>
  <dcterms:created xsi:type="dcterms:W3CDTF">2026-02-25T02:41:00Z</dcterms:created>
  <dcterms:modified xsi:type="dcterms:W3CDTF">2026-04-22T08:29:00Z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610d5f31-a1e7-3f2f-a543-beb9bce08521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1033-11.2.0.8342</vt:lpwstr>
  </property>
  <property fmtid="{D5CDD505-2E9C-101B-9397-08002B2CF9AE}" pid="26" name="GrammarlyDocumentId">
    <vt:lpwstr>5c127323-8698-48e1-a3ad-1fd17d02527c</vt:lpwstr>
  </property>
</Properties>
</file>