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3BE76" w14:textId="0942406E" w:rsidR="007B6090" w:rsidRPr="007B6090" w:rsidRDefault="007B6090" w:rsidP="007B6090">
      <w:pPr>
        <w:spacing w:after="0"/>
        <w:ind w:right="-6"/>
        <w:jc w:val="center"/>
        <w:rPr>
          <w:b/>
          <w:sz w:val="24"/>
          <w:szCs w:val="24"/>
        </w:rPr>
      </w:pPr>
      <w:r w:rsidRPr="007B6090">
        <w:rPr>
          <w:b/>
          <w:sz w:val="24"/>
          <w:szCs w:val="24"/>
        </w:rPr>
        <w:t>Analisis Ketahanan Pangan Rumah Tangga Di Kawasan Gambut</w:t>
      </w:r>
    </w:p>
    <w:p w14:paraId="6AF86A62" w14:textId="3B06AA0E" w:rsidR="007B6090" w:rsidRDefault="007B6090" w:rsidP="007B6090">
      <w:pPr>
        <w:spacing w:after="0"/>
        <w:ind w:right="-6"/>
        <w:jc w:val="center"/>
        <w:rPr>
          <w:b/>
          <w:sz w:val="24"/>
          <w:szCs w:val="24"/>
        </w:rPr>
      </w:pPr>
      <w:r w:rsidRPr="007B6090">
        <w:rPr>
          <w:b/>
          <w:sz w:val="24"/>
          <w:szCs w:val="24"/>
        </w:rPr>
        <w:t>Kota Palangka Raya</w:t>
      </w:r>
    </w:p>
    <w:p w14:paraId="6ADBB066" w14:textId="77777777" w:rsidR="007B6090" w:rsidRDefault="007B6090" w:rsidP="007B6090">
      <w:pPr>
        <w:spacing w:after="0"/>
        <w:ind w:right="-6"/>
        <w:jc w:val="center"/>
        <w:rPr>
          <w:b/>
          <w:i/>
          <w:sz w:val="24"/>
          <w:szCs w:val="24"/>
        </w:rPr>
      </w:pPr>
    </w:p>
    <w:p w14:paraId="099E2708" w14:textId="77777777" w:rsidR="007B6090" w:rsidRDefault="007B6090">
      <w:pPr>
        <w:spacing w:after="240" w:line="240" w:lineRule="auto"/>
        <w:ind w:right="-6"/>
        <w:jc w:val="center"/>
        <w:rPr>
          <w:b/>
          <w:i/>
          <w:sz w:val="24"/>
          <w:szCs w:val="24"/>
        </w:rPr>
      </w:pPr>
      <w:r w:rsidRPr="007B6090">
        <w:rPr>
          <w:b/>
          <w:i/>
          <w:sz w:val="24"/>
          <w:szCs w:val="24"/>
        </w:rPr>
        <w:t>Analysis of Household Food Security in Peatland AreasPalangka Raya City</w:t>
      </w:r>
    </w:p>
    <w:p w14:paraId="5B5B2142" w14:textId="2BAF45CD" w:rsidR="0027013F" w:rsidRPr="00876E7D" w:rsidRDefault="0070436A">
      <w:pPr>
        <w:spacing w:after="240" w:line="240" w:lineRule="auto"/>
        <w:ind w:right="-6"/>
        <w:jc w:val="center"/>
        <w:rPr>
          <w:sz w:val="20"/>
          <w:szCs w:val="20"/>
        </w:rPr>
      </w:pPr>
      <w:r w:rsidRPr="0070436A">
        <w:rPr>
          <w:sz w:val="20"/>
          <w:szCs w:val="20"/>
        </w:rPr>
        <w:t>Abdul Halim</w:t>
      </w:r>
      <w:r w:rsidR="00612C1B">
        <w:rPr>
          <w:sz w:val="20"/>
          <w:szCs w:val="20"/>
          <w:vertAlign w:val="superscript"/>
        </w:rPr>
        <w:t>1,*</w:t>
      </w:r>
      <w:r w:rsidR="00612C1B">
        <w:rPr>
          <w:sz w:val="20"/>
          <w:szCs w:val="20"/>
        </w:rPr>
        <w:t xml:space="preserve">, </w:t>
      </w:r>
      <w:r w:rsidR="000935EC" w:rsidRPr="000935EC">
        <w:rPr>
          <w:sz w:val="20"/>
          <w:szCs w:val="20"/>
        </w:rPr>
        <w:t>Pratiwi Subianto</w:t>
      </w:r>
      <w:r w:rsidR="004D58A4">
        <w:rPr>
          <w:sz w:val="20"/>
          <w:szCs w:val="20"/>
          <w:vertAlign w:val="superscript"/>
        </w:rPr>
        <w:t>2</w:t>
      </w:r>
      <w:r w:rsidR="00612C1B">
        <w:rPr>
          <w:sz w:val="20"/>
          <w:szCs w:val="20"/>
        </w:rPr>
        <w:t xml:space="preserve">, </w:t>
      </w:r>
      <w:r w:rsidR="000935EC" w:rsidRPr="000935EC">
        <w:rPr>
          <w:sz w:val="20"/>
          <w:szCs w:val="20"/>
        </w:rPr>
        <w:t>Tiur Rosida Simbolon</w:t>
      </w:r>
      <w:r w:rsidR="004D58A4">
        <w:rPr>
          <w:sz w:val="20"/>
          <w:szCs w:val="20"/>
          <w:vertAlign w:val="superscript"/>
        </w:rPr>
        <w:t>3</w:t>
      </w:r>
      <w:r w:rsidR="00612C1B">
        <w:rPr>
          <w:sz w:val="20"/>
          <w:szCs w:val="20"/>
        </w:rPr>
        <w:t>,</w:t>
      </w:r>
      <w:r w:rsidR="00612C1B" w:rsidRPr="00612C1B">
        <w:t xml:space="preserve"> </w:t>
      </w:r>
      <w:r>
        <w:rPr>
          <w:sz w:val="20"/>
          <w:szCs w:val="20"/>
        </w:rPr>
        <w:t>Miar</w:t>
      </w:r>
      <w:r w:rsidR="004D58A4">
        <w:rPr>
          <w:sz w:val="20"/>
          <w:szCs w:val="20"/>
          <w:vertAlign w:val="superscript"/>
        </w:rPr>
        <w:t>4</w:t>
      </w:r>
      <w:r w:rsidR="00876E7D">
        <w:rPr>
          <w:sz w:val="20"/>
          <w:szCs w:val="20"/>
        </w:rPr>
        <w:t>,</w:t>
      </w:r>
      <w:r w:rsidR="00876E7D" w:rsidRPr="00876E7D">
        <w:t xml:space="preserve"> </w:t>
      </w:r>
      <w:r w:rsidR="004D58A4">
        <w:rPr>
          <w:sz w:val="20"/>
          <w:szCs w:val="20"/>
        </w:rPr>
        <w:t>Rima Hayati</w:t>
      </w:r>
      <w:r w:rsidR="004D58A4">
        <w:rPr>
          <w:sz w:val="20"/>
          <w:szCs w:val="20"/>
          <w:vertAlign w:val="superscript"/>
        </w:rPr>
        <w:t>5</w:t>
      </w:r>
      <w:r w:rsidR="004D58A4">
        <w:rPr>
          <w:sz w:val="20"/>
          <w:szCs w:val="20"/>
        </w:rPr>
        <w:t>,</w:t>
      </w:r>
      <w:r w:rsidR="00C4379A">
        <w:rPr>
          <w:sz w:val="20"/>
          <w:szCs w:val="20"/>
        </w:rPr>
        <w:t xml:space="preserve"> Suherman</w:t>
      </w:r>
      <w:r w:rsidR="00C4379A">
        <w:rPr>
          <w:sz w:val="20"/>
          <w:szCs w:val="20"/>
          <w:vertAlign w:val="superscript"/>
        </w:rPr>
        <w:t>6</w:t>
      </w:r>
      <w:r w:rsidR="004D58A4">
        <w:rPr>
          <w:sz w:val="20"/>
          <w:szCs w:val="20"/>
        </w:rPr>
        <w:t xml:space="preserve"> </w:t>
      </w:r>
      <w:r w:rsidR="00C4379A">
        <w:rPr>
          <w:sz w:val="20"/>
          <w:szCs w:val="20"/>
        </w:rPr>
        <w:t xml:space="preserve">, M. Farras </w:t>
      </w:r>
      <w:r w:rsidR="00C4379A" w:rsidRPr="00C4379A">
        <w:rPr>
          <w:sz w:val="20"/>
          <w:szCs w:val="20"/>
        </w:rPr>
        <w:t>Nasrida</w:t>
      </w:r>
      <w:r w:rsidR="00C4379A" w:rsidRPr="00C4379A">
        <w:rPr>
          <w:sz w:val="20"/>
          <w:szCs w:val="20"/>
          <w:vertAlign w:val="superscript"/>
        </w:rPr>
        <w:t>7</w:t>
      </w:r>
      <w:r w:rsidR="00C4379A">
        <w:rPr>
          <w:sz w:val="20"/>
          <w:szCs w:val="20"/>
        </w:rPr>
        <w:t xml:space="preserve">, </w:t>
      </w:r>
      <w:r w:rsidR="00876E7D" w:rsidRPr="00C4379A">
        <w:rPr>
          <w:sz w:val="20"/>
          <w:szCs w:val="20"/>
        </w:rPr>
        <w:t>Tri</w:t>
      </w:r>
      <w:r w:rsidR="00876E7D" w:rsidRPr="00876E7D">
        <w:rPr>
          <w:sz w:val="20"/>
          <w:szCs w:val="20"/>
        </w:rPr>
        <w:t xml:space="preserve"> Putri Hutabalian</w:t>
      </w:r>
      <w:r w:rsidR="00C4379A">
        <w:rPr>
          <w:sz w:val="20"/>
          <w:szCs w:val="20"/>
          <w:vertAlign w:val="superscript"/>
        </w:rPr>
        <w:t>8</w:t>
      </w:r>
      <w:r w:rsidR="00876E7D">
        <w:rPr>
          <w:sz w:val="20"/>
          <w:szCs w:val="20"/>
        </w:rPr>
        <w:t>,</w:t>
      </w:r>
      <w:r w:rsidR="009D11C8" w:rsidRPr="009D11C8">
        <w:rPr>
          <w:sz w:val="20"/>
          <w:szCs w:val="20"/>
        </w:rPr>
        <w:t>Dimas Prima Yosa</w:t>
      </w:r>
      <w:r w:rsidR="00C4379A">
        <w:rPr>
          <w:sz w:val="20"/>
          <w:szCs w:val="20"/>
          <w:vertAlign w:val="superscript"/>
        </w:rPr>
        <w:t>9</w:t>
      </w:r>
    </w:p>
    <w:p w14:paraId="74EAC423" w14:textId="1BF6E984" w:rsidR="0027013F" w:rsidRDefault="00D83A94">
      <w:pPr>
        <w:spacing w:after="0" w:line="240" w:lineRule="auto"/>
        <w:ind w:right="-6"/>
        <w:rPr>
          <w:sz w:val="18"/>
          <w:szCs w:val="18"/>
        </w:rPr>
      </w:pPr>
      <w:r>
        <w:rPr>
          <w:sz w:val="18"/>
          <w:szCs w:val="18"/>
          <w:vertAlign w:val="superscript"/>
        </w:rPr>
        <w:t>1</w:t>
      </w:r>
      <w:r w:rsidR="009D11C8">
        <w:rPr>
          <w:sz w:val="18"/>
          <w:szCs w:val="18"/>
          <w:vertAlign w:val="superscript"/>
        </w:rPr>
        <w:t>,2,3,4,5,6,7,</w:t>
      </w:r>
      <w:r w:rsidR="00C4379A">
        <w:rPr>
          <w:sz w:val="18"/>
          <w:szCs w:val="18"/>
          <w:vertAlign w:val="superscript"/>
        </w:rPr>
        <w:t>8,9</w:t>
      </w:r>
      <w:r w:rsidR="009D11C8">
        <w:rPr>
          <w:sz w:val="18"/>
          <w:szCs w:val="18"/>
          <w:vertAlign w:val="superscript"/>
        </w:rPr>
        <w:t xml:space="preserve"> </w:t>
      </w:r>
      <w:r w:rsidR="009D11C8">
        <w:rPr>
          <w:sz w:val="18"/>
          <w:szCs w:val="18"/>
        </w:rPr>
        <w:t>Universitas Palangka Raya</w:t>
      </w:r>
      <w:r>
        <w:rPr>
          <w:sz w:val="18"/>
          <w:szCs w:val="18"/>
        </w:rPr>
        <w:t>, Nomor Telepon Institusi, Kode Pos, Negara</w:t>
      </w:r>
    </w:p>
    <w:p w14:paraId="6D735F35" w14:textId="75CCCFB4" w:rsidR="0027013F" w:rsidRDefault="00D83A94">
      <w:pPr>
        <w:spacing w:after="240" w:line="240" w:lineRule="auto"/>
        <w:jc w:val="both"/>
        <w:rPr>
          <w:sz w:val="18"/>
          <w:szCs w:val="18"/>
        </w:rPr>
      </w:pPr>
      <w:r>
        <w:rPr>
          <w:i/>
          <w:sz w:val="18"/>
          <w:szCs w:val="18"/>
          <w:vertAlign w:val="superscript"/>
        </w:rPr>
        <w:t>*)</w:t>
      </w:r>
      <w:r>
        <w:rPr>
          <w:i/>
          <w:sz w:val="18"/>
          <w:szCs w:val="18"/>
        </w:rPr>
        <w:t xml:space="preserve">E-mail korespondensi: </w:t>
      </w:r>
      <w:hyperlink r:id="rId9" w:history="1">
        <w:r w:rsidR="009D11C8" w:rsidRPr="00531473">
          <w:rPr>
            <w:rStyle w:val="Hyperlink"/>
            <w:i/>
            <w:sz w:val="18"/>
            <w:szCs w:val="18"/>
          </w:rPr>
          <w:t>abdul.halim@feb.upr.ac.id</w:t>
        </w:r>
      </w:hyperlink>
    </w:p>
    <w:p w14:paraId="7E18750D" w14:textId="410B49F1" w:rsidR="0027013F" w:rsidRDefault="00D83A94">
      <w:pPr>
        <w:spacing w:after="240" w:line="240" w:lineRule="auto"/>
        <w:jc w:val="center"/>
        <w:rPr>
          <w:i/>
          <w:sz w:val="20"/>
          <w:szCs w:val="20"/>
        </w:rPr>
      </w:pPr>
      <w:r>
        <w:rPr>
          <w:sz w:val="20"/>
          <w:szCs w:val="20"/>
        </w:rPr>
        <w:t xml:space="preserve">Diterima: </w:t>
      </w:r>
      <w:r w:rsidR="00022F6A">
        <w:rPr>
          <w:sz w:val="20"/>
          <w:szCs w:val="20"/>
        </w:rPr>
        <w:t>20 November 2025</w:t>
      </w:r>
      <w:r>
        <w:rPr>
          <w:sz w:val="20"/>
          <w:szCs w:val="20"/>
        </w:rPr>
        <w:t xml:space="preserve"> | Direvisi: </w:t>
      </w:r>
      <w:r w:rsidR="00022F6A">
        <w:rPr>
          <w:sz w:val="20"/>
          <w:szCs w:val="20"/>
        </w:rPr>
        <w:t>24 November 2025</w:t>
      </w:r>
      <w:r>
        <w:rPr>
          <w:sz w:val="20"/>
          <w:szCs w:val="20"/>
        </w:rPr>
        <w:t xml:space="preserve"> | Disetujui: </w:t>
      </w:r>
      <w:r w:rsidR="00022F6A">
        <w:rPr>
          <w:sz w:val="20"/>
          <w:szCs w:val="20"/>
        </w:rPr>
        <w:t>2 Desember 2025</w:t>
      </w:r>
      <w:r>
        <w:rPr>
          <w:sz w:val="20"/>
          <w:szCs w:val="20"/>
        </w:rPr>
        <w:t xml:space="preserve"> | Publikasi online:</w:t>
      </w:r>
      <w:r>
        <w:rPr>
          <w:noProof/>
          <w:lang w:val="en-US"/>
        </w:rPr>
        <w:drawing>
          <wp:anchor distT="0" distB="0" distL="114300" distR="114300" simplePos="0" relativeHeight="251658240" behindDoc="0" locked="0" layoutInCell="1" hidden="0" allowOverlap="1" wp14:anchorId="1A75DAA8" wp14:editId="36522431">
            <wp:simplePos x="0" y="0"/>
            <wp:positionH relativeFrom="column">
              <wp:posOffset>114300</wp:posOffset>
            </wp:positionH>
            <wp:positionV relativeFrom="paragraph">
              <wp:posOffset>0</wp:posOffset>
            </wp:positionV>
            <wp:extent cx="19050" cy="19050"/>
            <wp:effectExtent l="0" t="0" r="0" b="0"/>
            <wp:wrapNone/>
            <wp:docPr id="2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9050" cy="19050"/>
                    </a:xfrm>
                    <a:prstGeom prst="rect">
                      <a:avLst/>
                    </a:prstGeom>
                    <a:ln/>
                  </pic:spPr>
                </pic:pic>
              </a:graphicData>
            </a:graphic>
          </wp:anchor>
        </w:drawing>
      </w:r>
      <w:r w:rsidR="00022F6A">
        <w:rPr>
          <w:sz w:val="20"/>
          <w:szCs w:val="20"/>
        </w:rPr>
        <w:t xml:space="preserve"> 8 Desember 2025</w:t>
      </w:r>
    </w:p>
    <w:p w14:paraId="0B4F7D38" w14:textId="77777777" w:rsidR="0027013F" w:rsidRDefault="00D83A94">
      <w:pPr>
        <w:spacing w:after="0"/>
        <w:ind w:right="-6"/>
        <w:rPr>
          <w:sz w:val="18"/>
          <w:szCs w:val="18"/>
        </w:rPr>
      </w:pPr>
      <w:r>
        <w:rPr>
          <w:noProof/>
          <w:lang w:val="en-US"/>
        </w:rPr>
        <mc:AlternateContent>
          <mc:Choice Requires="wps">
            <w:drawing>
              <wp:anchor distT="4294967295" distB="4294967295" distL="114300" distR="114300" simplePos="0" relativeHeight="251659264" behindDoc="0" locked="0" layoutInCell="1" hidden="0" allowOverlap="1" wp14:anchorId="08433862" wp14:editId="15D6AD25">
                <wp:simplePos x="0" y="0"/>
                <wp:positionH relativeFrom="column">
                  <wp:posOffset>-76199</wp:posOffset>
                </wp:positionH>
                <wp:positionV relativeFrom="paragraph">
                  <wp:posOffset>55896</wp:posOffset>
                </wp:positionV>
                <wp:extent cx="0" cy="25400"/>
                <wp:effectExtent l="0" t="0" r="0" b="0"/>
                <wp:wrapNone/>
                <wp:docPr id="240" name="Straight Arrow Connector 240"/>
                <wp:cNvGraphicFramePr/>
                <a:graphic xmlns:a="http://schemas.openxmlformats.org/drawingml/2006/main">
                  <a:graphicData uri="http://schemas.microsoft.com/office/word/2010/wordprocessingShape">
                    <wps:wsp>
                      <wps:cNvCnPr/>
                      <wps:spPr>
                        <a:xfrm>
                          <a:off x="2383725" y="3780000"/>
                          <a:ext cx="5924550" cy="0"/>
                        </a:xfrm>
                        <a:prstGeom prst="straightConnector1">
                          <a:avLst/>
                        </a:prstGeom>
                        <a:noFill/>
                        <a:ln w="25400" cap="flat" cmpd="sng">
                          <a:solidFill>
                            <a:srgbClr val="EAF1DD"/>
                          </a:solidFill>
                          <a:prstDash val="solid"/>
                          <a:miter lim="800000"/>
                          <a:headEnd type="none" w="med" len="med"/>
                          <a:tailEnd type="none" w="med" len="med"/>
                        </a:ln>
                      </wps:spPr>
                      <wps:bodyPr/>
                    </wps:wsp>
                  </a:graphicData>
                </a:graphic>
              </wp:anchor>
            </w:drawing>
          </mc:Choice>
          <mc:Fallback>
            <w:pict>
              <v:shapetype w14:anchorId="2CAD4A1B" id="_x0000_t32" coordsize="21600,21600" o:spt="32" o:oned="t" path="m,l21600,21600e" filled="f">
                <v:path arrowok="t" fillok="f" o:connecttype="none"/>
                <o:lock v:ext="edit" shapetype="t"/>
              </v:shapetype>
              <v:shape id="Straight Arrow Connector 240" o:spid="_x0000_s1026" type="#_x0000_t32" style="position:absolute;margin-left:-6pt;margin-top:4.4pt;width:0;height:2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" strokecolor="#eaf1dd" strokeweight="2pt">
                <v:stroke joinstyle="miter"/>
              </v:shape>
            </w:pict>
          </mc:Fallback>
        </mc:AlternateContent>
      </w:r>
    </w:p>
    <w:tbl>
      <w:tblPr>
        <w:tblStyle w:val="a"/>
        <w:tblW w:w="9072" w:type="dxa"/>
        <w:tblLayout w:type="fixed"/>
        <w:tblLook w:val="0400" w:firstRow="0" w:lastRow="0" w:firstColumn="0" w:lastColumn="0" w:noHBand="0" w:noVBand="1"/>
      </w:tblPr>
      <w:tblGrid>
        <w:gridCol w:w="9072"/>
      </w:tblGrid>
      <w:tr w:rsidR="0027013F" w14:paraId="392AF025" w14:textId="77777777">
        <w:tc>
          <w:tcPr>
            <w:tcW w:w="9072" w:type="dxa"/>
            <w:shd w:val="clear" w:color="auto" w:fill="EBF1DD"/>
          </w:tcPr>
          <w:p w14:paraId="03838CD0" w14:textId="77777777" w:rsidR="0027013F" w:rsidRDefault="00D83A94">
            <w:pPr>
              <w:spacing w:before="240" w:line="240" w:lineRule="auto"/>
              <w:jc w:val="center"/>
              <w:rPr>
                <w:b/>
                <w:i/>
                <w:sz w:val="20"/>
                <w:szCs w:val="20"/>
              </w:rPr>
            </w:pPr>
            <w:r>
              <w:rPr>
                <w:b/>
                <w:i/>
                <w:sz w:val="20"/>
                <w:szCs w:val="20"/>
              </w:rPr>
              <w:t>ABSTRACT</w:t>
            </w:r>
          </w:p>
          <w:p w14:paraId="68BDB544" w14:textId="7B9AB79C" w:rsidR="0027013F" w:rsidRPr="00F24C0D" w:rsidRDefault="00F24C0D" w:rsidP="00F24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i/>
                <w:sz w:val="20"/>
                <w:szCs w:val="20"/>
              </w:rPr>
            </w:pPr>
            <w:r w:rsidRPr="00F24C0D">
              <w:rPr>
                <w:i/>
                <w:sz w:val="20"/>
                <w:szCs w:val="20"/>
              </w:rPr>
              <w:t>This study aims to analyse the socio-economic factors that influence household food security in the peatland area of Palangka Raya City. The study was conducted using a quantitative approach through secondary data processing and multiple linear regression analysis covering variables such as income, food expenditure, food prices, market access, and income diversification. The results show that household food security is still vulnerable, especially among low-income households and those with high food expenditure. Partially, income has a significant positive effect, food expenditure has a significant negative effect, and food prices have a marginal positive effect, while market access and income diversification have no significant effect. The R² value of 0.706 indicates that the model is able to explain the variation in food security well. These findings emphasise the importance of strengthening household economic capacity and stabilising food prices and supply as strategic steps to improve food security in peatland areas, thus contributing significantly to the formulation of regional economic development and food security policies</w:t>
            </w:r>
            <w:r>
              <w:rPr>
                <w:i/>
                <w:color w:val="202124"/>
                <w:sz w:val="20"/>
                <w:szCs w:val="20"/>
              </w:rPr>
              <w:t>.</w:t>
            </w:r>
          </w:p>
          <w:p w14:paraId="50DFEA43" w14:textId="4C78540F" w:rsidR="0027013F" w:rsidRDefault="00D83A94">
            <w:pPr>
              <w:spacing w:line="240" w:lineRule="auto"/>
              <w:ind w:right="-6"/>
              <w:jc w:val="both"/>
              <w:rPr>
                <w:i/>
                <w:color w:val="000000"/>
                <w:sz w:val="20"/>
                <w:szCs w:val="20"/>
              </w:rPr>
            </w:pPr>
            <w:r>
              <w:rPr>
                <w:b/>
                <w:i/>
                <w:sz w:val="20"/>
                <w:szCs w:val="20"/>
              </w:rPr>
              <w:t xml:space="preserve">Kata kunci: </w:t>
            </w:r>
            <w:r w:rsidR="00CA09E4" w:rsidRPr="00CA09E4">
              <w:rPr>
                <w:i/>
                <w:sz w:val="20"/>
                <w:szCs w:val="20"/>
              </w:rPr>
              <w:t>Food Prices, Food Security, Household Income</w:t>
            </w:r>
            <w:r w:rsidR="00CA09E4">
              <w:rPr>
                <w:i/>
                <w:sz w:val="20"/>
                <w:szCs w:val="20"/>
              </w:rPr>
              <w:t>,</w:t>
            </w:r>
            <w:r w:rsidR="00CA09E4">
              <w:t xml:space="preserve"> </w:t>
            </w:r>
            <w:r w:rsidR="00CA09E4" w:rsidRPr="00CA09E4">
              <w:rPr>
                <w:i/>
                <w:sz w:val="20"/>
                <w:szCs w:val="20"/>
              </w:rPr>
              <w:t>Income Diversification,</w:t>
            </w:r>
            <w:r w:rsidR="00CA09E4">
              <w:t xml:space="preserve"> </w:t>
            </w:r>
            <w:r w:rsidR="00CA09E4" w:rsidRPr="00CA09E4">
              <w:rPr>
                <w:i/>
                <w:sz w:val="20"/>
                <w:szCs w:val="20"/>
              </w:rPr>
              <w:t>Market Access</w:t>
            </w:r>
            <w:r w:rsidR="00CA09E4">
              <w:rPr>
                <w:i/>
                <w:sz w:val="20"/>
                <w:szCs w:val="20"/>
              </w:rPr>
              <w:t>.</w:t>
            </w:r>
          </w:p>
        </w:tc>
      </w:tr>
      <w:tr w:rsidR="0027013F" w14:paraId="515A4073" w14:textId="77777777">
        <w:tc>
          <w:tcPr>
            <w:tcW w:w="9072" w:type="dxa"/>
          </w:tcPr>
          <w:p w14:paraId="3F4B932F" w14:textId="77777777" w:rsidR="0027013F" w:rsidRDefault="0027013F">
            <w:pPr>
              <w:spacing w:after="0"/>
              <w:rPr>
                <w:sz w:val="16"/>
                <w:szCs w:val="16"/>
              </w:rPr>
            </w:pPr>
          </w:p>
        </w:tc>
      </w:tr>
      <w:tr w:rsidR="0027013F" w14:paraId="3BA217F4" w14:textId="77777777">
        <w:tc>
          <w:tcPr>
            <w:tcW w:w="9072" w:type="dxa"/>
            <w:shd w:val="clear" w:color="auto" w:fill="EBF1DD"/>
          </w:tcPr>
          <w:p w14:paraId="0E675578" w14:textId="77777777" w:rsidR="0027013F" w:rsidRDefault="00D83A94">
            <w:pPr>
              <w:widowControl w:val="0"/>
              <w:pBdr>
                <w:top w:val="nil"/>
                <w:left w:val="nil"/>
                <w:bottom w:val="nil"/>
                <w:right w:val="nil"/>
                <w:between w:val="nil"/>
              </w:pBdr>
              <w:spacing w:before="120" w:after="120" w:line="240" w:lineRule="auto"/>
              <w:ind w:right="45"/>
              <w:jc w:val="center"/>
              <w:rPr>
                <w:color w:val="000000"/>
                <w:sz w:val="24"/>
                <w:szCs w:val="24"/>
              </w:rPr>
            </w:pPr>
            <w:r>
              <w:rPr>
                <w:b/>
                <w:color w:val="000000"/>
              </w:rPr>
              <w:t>ABSTRAK</w:t>
            </w:r>
          </w:p>
          <w:p w14:paraId="2D46A055" w14:textId="77777777" w:rsidR="0027013F" w:rsidRDefault="0027013F">
            <w:pPr>
              <w:spacing w:line="14" w:lineRule="auto"/>
              <w:rPr>
                <w:sz w:val="20"/>
                <w:szCs w:val="20"/>
              </w:rPr>
            </w:pPr>
          </w:p>
          <w:p w14:paraId="09819827" w14:textId="0F727825" w:rsidR="0027013F" w:rsidRDefault="00595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i/>
                <w:color w:val="202124"/>
                <w:sz w:val="20"/>
                <w:szCs w:val="20"/>
              </w:rPr>
            </w:pPr>
            <w:r w:rsidRPr="005955A1">
              <w:rPr>
                <w:i/>
                <w:sz w:val="20"/>
                <w:szCs w:val="20"/>
              </w:rPr>
              <w:t>Penelitian ini bertujuan menganalisis faktor-faktor sosial ekonomi yang memengaruhi ketahanan pangan rumah tangga di kawasan gambut Kota Palangka Raya. Penelitian dilakukan dengan pendekatan kuantitatif melalui pengolahan data sekunder dan analisis regresi linier berganda yang mencakup variabel pendapatan, pengeluaran pangan, harga pangan, akses pasar, dan diversifikasi pendapatan. Hasil penelitian menunjukkan bahwa ketahanan pangan rumah tangga masih tergolong rentan, terutama pada rumah tangga berpendapatan rendah dan yang memiliki proporsi pengeluaran pangan tinggi. Secara parsial, pendapatan berpengaruh positif signifikan, pengeluaran pangan berpengaruh negatif signifikan, dan harga pangan berpengaruh positif secara marginal, sedangkan akses pasar dan diversifikasi pendapatan tidak berpengaruh signifikan. Nilai R² sebesar 0,706 menunjukkan bahwa model mampu menjelaskan variasi ketahanan pangan dengan baik. Temuan ini menegaskan pentingnya penguatan kapasitas ekonomi rumah tangga serta stabilisasi harga dan pasokan pangan sebagai langkah strategis untuk meningkatkan ketahanan pangan di wilayah gambut, sehingga hasil penelitian ini memberikan kontribusi penting bagi perumusan kebijakan pembangunan ekonomi dan ketahanan pangan daerah</w:t>
            </w:r>
            <w:r>
              <w:rPr>
                <w:i/>
                <w:color w:val="202124"/>
                <w:sz w:val="20"/>
                <w:szCs w:val="20"/>
              </w:rPr>
              <w:t>.</w:t>
            </w:r>
          </w:p>
          <w:p w14:paraId="4BB6B748" w14:textId="799B2877" w:rsidR="0027013F" w:rsidRDefault="00D83A94" w:rsidP="00CA09E4">
            <w:pPr>
              <w:spacing w:line="240" w:lineRule="auto"/>
              <w:ind w:left="1021" w:right="-6" w:hanging="1163"/>
              <w:jc w:val="both"/>
              <w:rPr>
                <w:sz w:val="20"/>
                <w:szCs w:val="20"/>
              </w:rPr>
            </w:pPr>
            <w:r>
              <w:rPr>
                <w:b/>
                <w:sz w:val="20"/>
                <w:szCs w:val="20"/>
              </w:rPr>
              <w:t xml:space="preserve"> Kata kunci: </w:t>
            </w:r>
            <w:r w:rsidR="005955A1">
              <w:rPr>
                <w:i/>
                <w:sz w:val="20"/>
                <w:szCs w:val="20"/>
              </w:rPr>
              <w:t>A</w:t>
            </w:r>
            <w:r w:rsidR="005955A1" w:rsidRPr="005955A1">
              <w:rPr>
                <w:i/>
                <w:sz w:val="20"/>
                <w:szCs w:val="20"/>
              </w:rPr>
              <w:t xml:space="preserve">kses </w:t>
            </w:r>
            <w:r w:rsidR="005955A1">
              <w:rPr>
                <w:i/>
                <w:sz w:val="20"/>
                <w:szCs w:val="20"/>
              </w:rPr>
              <w:t>P</w:t>
            </w:r>
            <w:r w:rsidR="005955A1" w:rsidRPr="005955A1">
              <w:rPr>
                <w:i/>
                <w:sz w:val="20"/>
                <w:szCs w:val="20"/>
              </w:rPr>
              <w:t xml:space="preserve">asar, </w:t>
            </w:r>
            <w:r w:rsidR="005955A1">
              <w:rPr>
                <w:i/>
                <w:sz w:val="20"/>
                <w:szCs w:val="20"/>
              </w:rPr>
              <w:t>D</w:t>
            </w:r>
            <w:r w:rsidR="005955A1" w:rsidRPr="005955A1">
              <w:rPr>
                <w:i/>
                <w:sz w:val="20"/>
                <w:szCs w:val="20"/>
              </w:rPr>
              <w:t xml:space="preserve">iversifikasi </w:t>
            </w:r>
            <w:r w:rsidR="005955A1">
              <w:rPr>
                <w:i/>
                <w:sz w:val="20"/>
                <w:szCs w:val="20"/>
              </w:rPr>
              <w:t>P</w:t>
            </w:r>
            <w:r w:rsidR="005955A1" w:rsidRPr="005955A1">
              <w:rPr>
                <w:i/>
                <w:sz w:val="20"/>
                <w:szCs w:val="20"/>
              </w:rPr>
              <w:t xml:space="preserve">endapatan, </w:t>
            </w:r>
            <w:r w:rsidR="005955A1">
              <w:rPr>
                <w:i/>
                <w:sz w:val="20"/>
                <w:szCs w:val="20"/>
              </w:rPr>
              <w:t>H</w:t>
            </w:r>
            <w:r w:rsidR="005955A1" w:rsidRPr="005955A1">
              <w:rPr>
                <w:i/>
                <w:sz w:val="20"/>
                <w:szCs w:val="20"/>
              </w:rPr>
              <w:t xml:space="preserve">arga </w:t>
            </w:r>
            <w:r w:rsidR="005955A1">
              <w:rPr>
                <w:i/>
                <w:sz w:val="20"/>
                <w:szCs w:val="20"/>
              </w:rPr>
              <w:t>P</w:t>
            </w:r>
            <w:r w:rsidR="005955A1" w:rsidRPr="005955A1">
              <w:rPr>
                <w:i/>
                <w:sz w:val="20"/>
                <w:szCs w:val="20"/>
              </w:rPr>
              <w:t xml:space="preserve">angan, </w:t>
            </w:r>
            <w:r w:rsidR="005955A1">
              <w:rPr>
                <w:i/>
                <w:sz w:val="20"/>
                <w:szCs w:val="20"/>
              </w:rPr>
              <w:t>K</w:t>
            </w:r>
            <w:r w:rsidR="005955A1" w:rsidRPr="005955A1">
              <w:rPr>
                <w:i/>
                <w:sz w:val="20"/>
                <w:szCs w:val="20"/>
              </w:rPr>
              <w:t xml:space="preserve">etahanan </w:t>
            </w:r>
            <w:r w:rsidR="005955A1">
              <w:rPr>
                <w:i/>
                <w:sz w:val="20"/>
                <w:szCs w:val="20"/>
              </w:rPr>
              <w:t>P</w:t>
            </w:r>
            <w:r w:rsidR="005955A1" w:rsidRPr="005955A1">
              <w:rPr>
                <w:i/>
                <w:sz w:val="20"/>
                <w:szCs w:val="20"/>
              </w:rPr>
              <w:t xml:space="preserve">angan, </w:t>
            </w:r>
            <w:r w:rsidR="005955A1">
              <w:rPr>
                <w:i/>
                <w:sz w:val="20"/>
                <w:szCs w:val="20"/>
              </w:rPr>
              <w:t>P</w:t>
            </w:r>
            <w:r w:rsidR="005955A1" w:rsidRPr="005955A1">
              <w:rPr>
                <w:i/>
                <w:sz w:val="20"/>
                <w:szCs w:val="20"/>
              </w:rPr>
              <w:t xml:space="preserve">endapatan </w:t>
            </w:r>
            <w:r w:rsidR="005955A1">
              <w:rPr>
                <w:i/>
                <w:sz w:val="20"/>
                <w:szCs w:val="20"/>
              </w:rPr>
              <w:t>R</w:t>
            </w:r>
            <w:r w:rsidR="005955A1" w:rsidRPr="005955A1">
              <w:rPr>
                <w:i/>
                <w:sz w:val="20"/>
                <w:szCs w:val="20"/>
              </w:rPr>
              <w:t xml:space="preserve">umah </w:t>
            </w:r>
            <w:r w:rsidR="005955A1">
              <w:rPr>
                <w:i/>
                <w:sz w:val="20"/>
                <w:szCs w:val="20"/>
              </w:rPr>
              <w:t>T</w:t>
            </w:r>
            <w:r w:rsidR="005955A1" w:rsidRPr="005955A1">
              <w:rPr>
                <w:i/>
                <w:sz w:val="20"/>
                <w:szCs w:val="20"/>
              </w:rPr>
              <w:t>angga</w:t>
            </w:r>
          </w:p>
        </w:tc>
      </w:tr>
    </w:tbl>
    <w:p w14:paraId="547DBA77" w14:textId="77777777" w:rsidR="0027013F" w:rsidRDefault="00D83A94">
      <w:pPr>
        <w:rPr>
          <w:sz w:val="16"/>
          <w:szCs w:val="16"/>
        </w:rPr>
      </w:pPr>
      <w:r>
        <w:rPr>
          <w:noProof/>
          <w:lang w:val="en-US"/>
        </w:rPr>
        <mc:AlternateContent>
          <mc:Choice Requires="wps">
            <w:drawing>
              <wp:anchor distT="0" distB="0" distL="114300" distR="114300" simplePos="0" relativeHeight="251660288" behindDoc="0" locked="0" layoutInCell="1" hidden="0" allowOverlap="1" wp14:anchorId="67BD17FD" wp14:editId="5C4E43EA">
                <wp:simplePos x="0" y="0"/>
                <wp:positionH relativeFrom="column">
                  <wp:posOffset>-76199</wp:posOffset>
                </wp:positionH>
                <wp:positionV relativeFrom="paragraph">
                  <wp:posOffset>139700</wp:posOffset>
                </wp:positionV>
                <wp:extent cx="0" cy="25400"/>
                <wp:effectExtent l="0" t="0" r="0" b="0"/>
                <wp:wrapSquare wrapText="bothSides" distT="0" distB="0" distL="114300" distR="114300"/>
                <wp:docPr id="238" name="Straight Arrow Connector 238"/>
                <wp:cNvGraphicFramePr/>
                <a:graphic xmlns:a="http://schemas.openxmlformats.org/drawingml/2006/main">
                  <a:graphicData uri="http://schemas.microsoft.com/office/word/2010/wordprocessingShape">
                    <wps:wsp>
                      <wps:cNvCnPr/>
                      <wps:spPr>
                        <a:xfrm>
                          <a:off x="2381820" y="3780000"/>
                          <a:ext cx="5928360" cy="0"/>
                        </a:xfrm>
                        <a:prstGeom prst="straightConnector1">
                          <a:avLst/>
                        </a:prstGeom>
                        <a:noFill/>
                        <a:ln w="25400" cap="flat" cmpd="sng">
                          <a:solidFill>
                            <a:srgbClr val="EAF1DD"/>
                          </a:solidFill>
                          <a:prstDash val="solid"/>
                          <a:miter lim="800000"/>
                          <a:headEnd type="none" w="med" len="med"/>
                          <a:tailEnd type="none" w="med" len="med"/>
                        </a:ln>
                      </wps:spPr>
                      <wps:bodyPr/>
                    </wps:wsp>
                  </a:graphicData>
                </a:graphic>
              </wp:anchor>
            </w:drawing>
          </mc:Choice>
          <mc:Fallback>
            <w:pict>
              <v:shape w14:anchorId="064F10E1" id="Straight Arrow Connector 238" o:spid="_x0000_s1026" type="#_x0000_t32" style="position:absolute;margin-left:-6pt;margin-top:11pt;width:0;height: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" strokecolor="#eaf1dd" strokeweight="2pt">
                <v:stroke joinstyle="miter"/>
                <w10:wrap type="square"/>
              </v:shape>
            </w:pict>
          </mc:Fallback>
        </mc:AlternateContent>
      </w:r>
    </w:p>
    <w:p w14:paraId="7667445D" w14:textId="77777777" w:rsidR="0027013F" w:rsidRDefault="00D83A94">
      <w:pPr>
        <w:rPr>
          <w:sz w:val="16"/>
          <w:szCs w:val="16"/>
        </w:rPr>
      </w:pPr>
      <w:r>
        <w:rPr>
          <w:sz w:val="16"/>
          <w:szCs w:val="16"/>
        </w:rPr>
        <w:tab/>
      </w:r>
    </w:p>
    <w:p w14:paraId="72B69B85" w14:textId="77777777" w:rsidR="0027013F" w:rsidRDefault="0027013F">
      <w:pPr>
        <w:rPr>
          <w:sz w:val="16"/>
          <w:szCs w:val="16"/>
        </w:rPr>
      </w:pPr>
    </w:p>
    <w:p w14:paraId="62792158" w14:textId="77777777" w:rsidR="0027013F" w:rsidRDefault="0027013F">
      <w:pPr>
        <w:tabs>
          <w:tab w:val="left" w:pos="6321"/>
        </w:tabs>
        <w:rPr>
          <w:sz w:val="16"/>
          <w:szCs w:val="16"/>
        </w:rPr>
        <w:sectPr w:rsidR="0027013F" w:rsidSect="00022F6A">
          <w:headerReference w:type="default" r:id="rId11"/>
          <w:footerReference w:type="even" r:id="rId12"/>
          <w:footerReference w:type="default" r:id="rId13"/>
          <w:headerReference w:type="first" r:id="rId14"/>
          <w:footerReference w:type="first" r:id="rId15"/>
          <w:pgSz w:w="11907" w:h="16839"/>
          <w:pgMar w:top="1134" w:right="1134" w:bottom="1134" w:left="1701" w:header="709" w:footer="709" w:gutter="0"/>
          <w:pgNumType w:start="71"/>
          <w:cols w:space="720"/>
          <w:titlePg/>
        </w:sectPr>
      </w:pPr>
    </w:p>
    <w:p w14:paraId="5C0119B0" w14:textId="77777777" w:rsidR="0027013F" w:rsidRDefault="00D83A94">
      <w:pPr>
        <w:spacing w:before="200" w:after="0"/>
        <w:rPr>
          <w:b/>
          <w:sz w:val="18"/>
          <w:szCs w:val="18"/>
        </w:rPr>
      </w:pPr>
      <w:r>
        <w:rPr>
          <w:b/>
        </w:rPr>
        <w:lastRenderedPageBreak/>
        <w:t>PENDAHULUAN</w:t>
      </w:r>
    </w:p>
    <w:p w14:paraId="29F357B0" w14:textId="239FFD88" w:rsidR="001355CB" w:rsidRPr="0016609A" w:rsidRDefault="001355CB" w:rsidP="000850B4">
      <w:pPr>
        <w:spacing w:after="0" w:line="240" w:lineRule="auto"/>
        <w:jc w:val="both"/>
        <w:rPr>
          <w:color w:val="202124"/>
        </w:rPr>
      </w:pPr>
      <w:r w:rsidRPr="001355CB">
        <w:rPr>
          <w:color w:val="202124"/>
        </w:rPr>
        <w:t xml:space="preserve">Ketahanan pangan merupakan isu strategis yang berhubungan langsung dengan kesejahteraan masyarakat dan stabilitas pembangunan nasional. Berdasarkan data </w:t>
      </w:r>
      <w:r w:rsidR="00756791" w:rsidRPr="0016609A">
        <w:rPr>
          <w:color w:val="000000" w:themeColor="text1"/>
          <w:lang w:val="id-ID"/>
        </w:rPr>
        <w:fldChar w:fldCharType="begin" w:fldLock="1"/>
      </w:r>
      <w:r w:rsidR="00756791" w:rsidRPr="0016609A">
        <w:rPr>
          <w:color w:val="000000" w:themeColor="text1"/>
          <w:lang w:val="id-ID"/>
        </w:rPr>
        <w:instrText>ADDIN CSL_CITATION {"citationItems":[{"id":"ITEM-1","itemData":{"author":[{"dropping-particle":"","family":"Badan Pangan Nasional","given":"","non-dropping-particle":"","parse-names":false,"suffix":""}],"id":"ITEM-1","issued":{"date-parts":[["2024"]]},"title":"Rencana Aksi Badan Pangan Nasional","type":"article-journal"},"uris":["http://www.mendeley.com/documents/?uuid=4a5767c4-268e-414b-a8ca-cd53b7e7447a"]}],"mendeley":{"formattedCitation":"(Badan Pangan Nasional, 2024)","plainTextFormattedCitation":"(Badan Pangan Nasional, 2024)","previouslyFormattedCitation":"(Badan Pangan Nasional, 2024)"},"properties":{"noteIndex":0},"schema":"https://github.com/citation-style-language/schema/raw/master/csl-citation.json"}</w:instrText>
      </w:r>
      <w:r w:rsidR="00756791" w:rsidRPr="0016609A">
        <w:rPr>
          <w:color w:val="000000" w:themeColor="text1"/>
          <w:lang w:val="id-ID"/>
        </w:rPr>
        <w:fldChar w:fldCharType="separate"/>
      </w:r>
      <w:r w:rsidR="00756791" w:rsidRPr="0016609A">
        <w:rPr>
          <w:noProof/>
          <w:color w:val="000000" w:themeColor="text1"/>
          <w:lang w:val="id-ID"/>
        </w:rPr>
        <w:t>(B</w:t>
      </w:r>
      <w:r w:rsidR="003E1316" w:rsidRPr="0016609A">
        <w:rPr>
          <w:noProof/>
          <w:color w:val="000000" w:themeColor="text1"/>
          <w:lang w:val="id-ID"/>
        </w:rPr>
        <w:t>PN</w:t>
      </w:r>
      <w:r w:rsidR="00756791" w:rsidRPr="0016609A">
        <w:rPr>
          <w:noProof/>
          <w:color w:val="000000" w:themeColor="text1"/>
          <w:lang w:val="id-ID"/>
        </w:rPr>
        <w:t>, 2024)</w:t>
      </w:r>
      <w:r w:rsidR="00756791" w:rsidRPr="0016609A">
        <w:rPr>
          <w:color w:val="000000" w:themeColor="text1"/>
          <w:lang w:val="id-ID"/>
        </w:rPr>
        <w:fldChar w:fldCharType="end"/>
      </w:r>
      <w:r w:rsidRPr="0016609A">
        <w:rPr>
          <w:color w:val="202124"/>
        </w:rPr>
        <w:t xml:space="preserve">, indeks ketahanan pangan Indonesia berada pada skor 64,8 dari 100, menandakan tingkat ketahanan pangan yang masih rentan terhadap gangguan distribusi dan akses ekonomi. Di Kalimantan Tengah, khususnya Kota Palangka Raya, tingkat ketahanan pangan rumah tangga masih menghadapi tantangan. Data </w:t>
      </w:r>
      <w:r w:rsidR="00756791" w:rsidRPr="0016609A">
        <w:rPr>
          <w:color w:val="000000" w:themeColor="text1"/>
          <w:lang w:val="id-ID"/>
        </w:rPr>
        <w:fldChar w:fldCharType="begin" w:fldLock="1"/>
      </w:r>
      <w:r w:rsidR="00756791" w:rsidRPr="0016609A">
        <w:rPr>
          <w:color w:val="000000" w:themeColor="text1"/>
          <w:lang w:val="id-ID"/>
        </w:rPr>
        <w:instrText>ADDIN CSL_CITATION {"citationItems":[{"id":"ITEM-1","itemData":{"URL":"https://palangkakota.bps.go.id/id/publication/2023/02/28/6b3846d5106e11d4685c67e3/kota-palangka-raya-dalam-angka-2023.html","author":[{"dropping-particle":"","family":"BPS","given":"","non-dropping-particle":"","parse-names":false,"suffix":""}],"container-title":"Badan Pusat Statistik","id":"ITEM-1","issued":{"date-parts":[["2023"]]},"title":"Palangka Raya Dalam Angka Tahun 2023","type":"webpage"},"uris":["http://www.mendeley.com/documents/?uuid=aa33cdb3-979b-4460-b537-35081ceaee4b"]}],"mendeley":{"formattedCitation":"(BPS, 2023)","plainTextFormattedCitation":"(BPS, 2023)","previouslyFormattedCitation":"(BPS, 2023)"},"properties":{"noteIndex":0},"schema":"https://github.com/citation-style-language/schema/raw/master/csl-citation.json"}</w:instrText>
      </w:r>
      <w:r w:rsidR="00756791" w:rsidRPr="0016609A">
        <w:rPr>
          <w:color w:val="000000" w:themeColor="text1"/>
          <w:lang w:val="id-ID"/>
        </w:rPr>
        <w:fldChar w:fldCharType="separate"/>
      </w:r>
      <w:r w:rsidR="00756791" w:rsidRPr="0016609A">
        <w:rPr>
          <w:noProof/>
          <w:color w:val="000000" w:themeColor="text1"/>
          <w:lang w:val="id-ID"/>
        </w:rPr>
        <w:t>(BPS, 2023)</w:t>
      </w:r>
      <w:r w:rsidR="00756791" w:rsidRPr="0016609A">
        <w:rPr>
          <w:color w:val="000000" w:themeColor="text1"/>
          <w:lang w:val="id-ID"/>
        </w:rPr>
        <w:fldChar w:fldCharType="end"/>
      </w:r>
      <w:r w:rsidR="00756791" w:rsidRPr="0016609A">
        <w:rPr>
          <w:color w:val="000000" w:themeColor="text1"/>
          <w:lang w:val="id-ID"/>
        </w:rPr>
        <w:t xml:space="preserve"> </w:t>
      </w:r>
      <w:r w:rsidRPr="0016609A">
        <w:rPr>
          <w:color w:val="202124"/>
        </w:rPr>
        <w:t>menunjukkan bahwa sekitar 11,25% rumah tangga masih berada dalam kategori rawan pangan, terutama di wilayah dengan kondisi geografis ekstrem seperti kawasan gambut. Kondisi ini menegaskan pentingnya analisis mendalam terhadap faktor-faktor yang memengaruhi ketahanan pangan di tingkat rumah tangga.</w:t>
      </w:r>
    </w:p>
    <w:p w14:paraId="7F56FB7F" w14:textId="1868C6F5" w:rsidR="001355CB" w:rsidRPr="0016609A" w:rsidRDefault="001355CB" w:rsidP="000850B4">
      <w:pPr>
        <w:spacing w:after="0" w:line="240" w:lineRule="auto"/>
        <w:jc w:val="both"/>
        <w:rPr>
          <w:color w:val="202124"/>
        </w:rPr>
      </w:pPr>
      <w:r w:rsidRPr="0016609A">
        <w:rPr>
          <w:color w:val="202124"/>
        </w:rPr>
        <w:t xml:space="preserve">Kawasan gambut di Kota Palangka Raya memiliki luas mencapai ±347.000 hektare, atau sekitar 62% dari total luas wilayah kota </w:t>
      </w:r>
      <w:r w:rsidR="00756791" w:rsidRPr="0016609A">
        <w:rPr>
          <w:color w:val="000000" w:themeColor="text1"/>
          <w:lang w:val="id-ID"/>
        </w:rPr>
        <w:fldChar w:fldCharType="begin" w:fldLock="1"/>
      </w:r>
      <w:r w:rsidR="00F26398" w:rsidRPr="0016609A">
        <w:rPr>
          <w:color w:val="000000" w:themeColor="text1"/>
          <w:lang w:val="id-ID"/>
        </w:rPr>
        <w:instrText>ADDIN CSL_CITATION {"citationItems":[{"id":"ITEM-1","itemData":{"URL":"https://brgm.go.id/ ","author":[{"dropping-particle":"","family":"BRGM","given":"","non-dropping-particle":"","parse-names":false,"suffix":""}],"container-title":"Badan Restorasi Gambut dan Mangrove","id":"ITEM-1","issued":{"date-parts":[["0"]]},"title":"Melakukan restorasi, rehabilitasi, dan pengelolaan gambut dan mangrove untuk menjaga kelestarian ekosistem gambut dan mangrove serta mengurangi risiko kebakaran hutan","type":"webpage"},"uris":["http://www.mendeley.com/documents/?uuid=7986c71e-a8af-4a93-9cba-5555aa39717f"]}],"mendeley":{"formattedCitation":"(BRGM, n.d.)","manualFormatting":"(BRGM, 2023)","plainTextFormattedCitation":"(BRGM, n.d.)","previouslyFormattedCitation":"(BRGM, n.d.)"},"properties":{"noteIndex":0},"schema":"https://github.com/citation-style-language/schema/raw/master/csl-citation.json"}</w:instrText>
      </w:r>
      <w:r w:rsidR="00756791" w:rsidRPr="0016609A">
        <w:rPr>
          <w:color w:val="000000" w:themeColor="text1"/>
          <w:lang w:val="id-ID"/>
        </w:rPr>
        <w:fldChar w:fldCharType="separate"/>
      </w:r>
      <w:r w:rsidR="00756791" w:rsidRPr="0016609A">
        <w:rPr>
          <w:noProof/>
          <w:color w:val="000000" w:themeColor="text1"/>
          <w:lang w:val="id-ID"/>
        </w:rPr>
        <w:t>(BRGM, 2023)</w:t>
      </w:r>
      <w:r w:rsidR="00756791" w:rsidRPr="0016609A">
        <w:rPr>
          <w:color w:val="000000" w:themeColor="text1"/>
          <w:lang w:val="id-ID"/>
        </w:rPr>
        <w:fldChar w:fldCharType="end"/>
      </w:r>
      <w:r w:rsidR="00756791" w:rsidRPr="0016609A">
        <w:rPr>
          <w:color w:val="000000" w:themeColor="text1"/>
          <w:lang w:val="id-ID"/>
        </w:rPr>
        <w:t xml:space="preserve">. </w:t>
      </w:r>
      <w:r w:rsidRPr="0016609A">
        <w:rPr>
          <w:color w:val="202124"/>
        </w:rPr>
        <w:t xml:space="preserve">Lahan dengan karakteristik asam dan miskin unsur hara tersebut menyebabkan produktivitas pertanian pangan lokal relatif rendah, yakni hanya sekitar 2,8 ton/ha untuk padi dan 1,5 ton/ha untuk palawija, jauh di bawah rata-rata provinsi yang mencapai 4,1 ton/ha. Kondisi ini menyebabkan masyarakat di kawasan gambut bergantung pada pasokan pangan dari luar daerah. Akibatnya, stabilitas harga pangan lokal menjadi fluktuatif, terutama saat kondisi cuaca ekstrem atau gangguan distribusi terjadi, sehingga berdampak pada kemampuan rumah tangga untuk memenuhi kebutuhan gizi harian. Dari sisi sosial ekonomi, tingkat pendapatan per kapita masyarakat di wilayah gambut Palangka Raya tercatat sekitar Rp2,3 juta per bulan, lebih rendah dibandingkan rata-rata perkotaan sebesar Rp3,9 juta </w:t>
      </w:r>
      <w:r w:rsidR="00790262" w:rsidRPr="0016609A">
        <w:rPr>
          <w:color w:val="000000" w:themeColor="text1"/>
          <w:lang w:val="id-ID"/>
        </w:rPr>
        <w:fldChar w:fldCharType="begin" w:fldLock="1"/>
      </w:r>
      <w:r w:rsidR="00790262" w:rsidRPr="0016609A">
        <w:rPr>
          <w:color w:val="000000" w:themeColor="text1"/>
          <w:lang w:val="id-ID"/>
        </w:rPr>
        <w:instrText>ADDIN CSL_CITATION {"citationItems":[{"id":"ITEM-1","itemData":{"URL":"https://palangkakota.bps.go.id/id/publication/2023/02/28/6b3846d5106e11d4685c67e3/kota-palangka-raya-dalam-angka-2023.html","author":[{"dropping-particle":"","family":"BPS","given":"","non-dropping-particle":"","parse-names":false,"suffix":""}],"container-title":"Badan Pusat Statistik","id":"ITEM-1","issued":{"date-parts":[["2023"]]},"title":"Palangka Raya Dalam Angka Tahun 2023","type":"webpage"},"uris":["http://www.mendeley.com/documents/?uuid=aa33cdb3-979b-4460-b537-35081ceaee4b"]}],"mendeley":{"formattedCitation":"(BPS, 2023)","plainTextFormattedCitation":"(BPS, 2023)","previouslyFormattedCitation":"(BPS, 2023)"},"properties":{"noteIndex":0},"schema":"https://github.com/citation-style-language/schema/raw/master/csl-citation.json"}</w:instrText>
      </w:r>
      <w:r w:rsidR="00790262" w:rsidRPr="0016609A">
        <w:rPr>
          <w:color w:val="000000" w:themeColor="text1"/>
          <w:lang w:val="id-ID"/>
        </w:rPr>
        <w:fldChar w:fldCharType="separate"/>
      </w:r>
      <w:r w:rsidR="00790262" w:rsidRPr="0016609A">
        <w:rPr>
          <w:noProof/>
          <w:color w:val="000000" w:themeColor="text1"/>
          <w:lang w:val="id-ID"/>
        </w:rPr>
        <w:t>(BPS, 2023)</w:t>
      </w:r>
      <w:r w:rsidR="00790262" w:rsidRPr="0016609A">
        <w:rPr>
          <w:color w:val="000000" w:themeColor="text1"/>
          <w:lang w:val="id-ID"/>
        </w:rPr>
        <w:fldChar w:fldCharType="end"/>
      </w:r>
      <w:r w:rsidR="00790262" w:rsidRPr="0016609A">
        <w:rPr>
          <w:color w:val="000000" w:themeColor="text1"/>
          <w:lang w:val="id-ID"/>
        </w:rPr>
        <w:t xml:space="preserve">. </w:t>
      </w:r>
      <w:r w:rsidRPr="0016609A">
        <w:rPr>
          <w:color w:val="202124"/>
        </w:rPr>
        <w:t xml:space="preserve">Sekitar 26,7% kepala keluarga di wilayah tersebut bekerja sebagai petani atau buruh tani dengan penghasilan tidak tetap. Kondisi ini berpengaruh langsung terhadap akses ekonomi terhadap pangan, di mana rumah tangga berpendapatan rendah memiliki pengeluaran pangan mencapai hingga 67% dari total pengeluaran rumah tangga, jauh melebihi batas ideal 60% menurut </w:t>
      </w:r>
      <w:r w:rsidR="00790262" w:rsidRPr="0016609A">
        <w:rPr>
          <w:color w:val="000000" w:themeColor="text1"/>
          <w:lang w:val="id-ID"/>
        </w:rPr>
        <w:fldChar w:fldCharType="begin" w:fldLock="1"/>
      </w:r>
      <w:r w:rsidR="00790262" w:rsidRPr="0016609A">
        <w:rPr>
          <w:color w:val="000000" w:themeColor="text1"/>
          <w:lang w:val="id-ID"/>
        </w:rPr>
        <w:instrText>ADDIN CSL_CITATION {"citationItems":[{"id":"ITEM-1","itemData":{"URL":"https://openknowledge.fao.org/items/11a4abd8-4e09-4bef-9c12-900fb4605a02","author":[{"dropping-particle":"","family":"FAO","given":"","non-dropping-particle":"","parse-names":false,"suffix":""}],"container-title":"Food and Agriculture Organitation of The United Nations","id":"ITEM-1","issued":{"date-parts":[["2022"]]},"title":"The State of World Fisheries and Aquaculture 2022","type":"webpage"},"uris":["http://www.mendeley.com/documents/?uuid=58d189d3-0151-4854-b97d-845ac04000c7"]}],"mendeley":{"formattedCitation":"(FAO, 2022)","plainTextFormattedCitation":"(FAO, 2022)","previouslyFormattedCitation":"(FAO, 2022)"},"properties":{"noteIndex":0},"schema":"https://github.com/citation-style-language/schema/raw/master/csl-citation.json"}</w:instrText>
      </w:r>
      <w:r w:rsidR="00790262" w:rsidRPr="0016609A">
        <w:rPr>
          <w:color w:val="000000" w:themeColor="text1"/>
          <w:lang w:val="id-ID"/>
        </w:rPr>
        <w:fldChar w:fldCharType="separate"/>
      </w:r>
      <w:r w:rsidR="00790262" w:rsidRPr="0016609A">
        <w:rPr>
          <w:noProof/>
          <w:color w:val="000000" w:themeColor="text1"/>
          <w:lang w:val="id-ID"/>
        </w:rPr>
        <w:t>(FAO, 2022)</w:t>
      </w:r>
      <w:r w:rsidR="00790262" w:rsidRPr="0016609A">
        <w:rPr>
          <w:color w:val="000000" w:themeColor="text1"/>
          <w:lang w:val="id-ID"/>
        </w:rPr>
        <w:fldChar w:fldCharType="end"/>
      </w:r>
      <w:r w:rsidR="00790262" w:rsidRPr="0016609A">
        <w:rPr>
          <w:color w:val="000000" w:themeColor="text1"/>
          <w:lang w:val="id-ID"/>
        </w:rPr>
        <w:t xml:space="preserve">, </w:t>
      </w:r>
      <w:r w:rsidRPr="0016609A">
        <w:rPr>
          <w:color w:val="202124"/>
        </w:rPr>
        <w:t>ketimpangan ini menunjukkan bahwa dimensi ekonomi menjadi salah satu faktor kunci dalam menilai ketahanan pangan rumah tangga di kawasan gambut.</w:t>
      </w:r>
    </w:p>
    <w:p w14:paraId="46FB30D2" w14:textId="1400604A" w:rsidR="001355CB" w:rsidRPr="0016609A" w:rsidRDefault="001355CB" w:rsidP="000850B4">
      <w:pPr>
        <w:spacing w:after="0" w:line="240" w:lineRule="auto"/>
        <w:jc w:val="both"/>
        <w:rPr>
          <w:color w:val="202124"/>
        </w:rPr>
      </w:pPr>
      <w:r w:rsidRPr="0016609A">
        <w:rPr>
          <w:color w:val="202124"/>
        </w:rPr>
        <w:t xml:space="preserve">Kondisi lingkungan dan bencana ekologis juga memperburuk ketahanan pangan. Berdasarkan data </w:t>
      </w:r>
      <w:r w:rsidR="00790262" w:rsidRPr="0016609A">
        <w:rPr>
          <w:color w:val="000000" w:themeColor="text1"/>
          <w:lang w:val="id-ID"/>
        </w:rPr>
        <w:fldChar w:fldCharType="begin" w:fldLock="1"/>
      </w:r>
      <w:r w:rsidR="00790262" w:rsidRPr="0016609A">
        <w:rPr>
          <w:color w:val="000000" w:themeColor="text1"/>
          <w:lang w:val="id-ID"/>
        </w:rPr>
        <w:instrText>ADDIN CSL_CITATION {"citationItems":[{"id":"ITEM-1","itemData":{"URL":"https://kalteng.bmkg.go.id/tampil/?judul=Rapat-Koordinasi-Penanggulangan-KARHUTLA-Tahun-2023-di-Provinsi-Kalimantan-Tengah","author":[{"dropping-particle":"","family":"BMKG","given":"","non-dropping-particle":"","parse-names":false,"suffix":""}],"container-title":"BMKG Kalimantan Tengah","id":"ITEM-1","issued":{"date-parts":[["2023"]]},"title":"Rapat Koordinasi Penanggulangan KARHUTLA Tahun 2023 di Provinsi Kalimantan Tengah","type":"webpage"},"uris":["http://www.mendeley.com/documents/?uuid=c6e7b1b0-67a5-44c2-a81b-d828965bbbcc"]}],"mendeley":{"formattedCitation":"(BMKG, 2023)","plainTextFormattedCitation":"(BMKG, 2023)","previouslyFormattedCitation":"(BMKG, 2023)"},"properties":{"noteIndex":0},"schema":"https://github.com/citation-style-language/schema/raw/master/csl-citation.json"}</w:instrText>
      </w:r>
      <w:r w:rsidR="00790262" w:rsidRPr="0016609A">
        <w:rPr>
          <w:color w:val="000000" w:themeColor="text1"/>
          <w:lang w:val="id-ID"/>
        </w:rPr>
        <w:fldChar w:fldCharType="separate"/>
      </w:r>
      <w:r w:rsidR="00790262" w:rsidRPr="0016609A">
        <w:rPr>
          <w:noProof/>
          <w:color w:val="000000" w:themeColor="text1"/>
          <w:lang w:val="id-ID"/>
        </w:rPr>
        <w:t>(BMKG, 2023)</w:t>
      </w:r>
      <w:r w:rsidR="00790262" w:rsidRPr="0016609A">
        <w:rPr>
          <w:color w:val="000000" w:themeColor="text1"/>
          <w:lang w:val="id-ID"/>
        </w:rPr>
        <w:fldChar w:fldCharType="end"/>
      </w:r>
      <w:r w:rsidR="00790262" w:rsidRPr="0016609A">
        <w:rPr>
          <w:color w:val="000000" w:themeColor="text1"/>
          <w:lang w:val="id-ID"/>
        </w:rPr>
        <w:t xml:space="preserve">, </w:t>
      </w:r>
      <w:r w:rsidRPr="0016609A">
        <w:rPr>
          <w:color w:val="202124"/>
        </w:rPr>
        <w:t>kebakaran hutan dan lahan (karhutla) di kawasan gambut Palangka Raya mencapai 4.120 hektare pada tahun 2023, menyebabkan terganggunya aktivitas pertanian, distribusi pangan, dan kesehatan masyarakat. Dampak lanjutan berupa penurunan hasil panen hingga 35% dan peningkatan harga beras lokal sebesar 12–15% pada periode Agustus–Oktober 2023 turut memperburuk ketahanan pangan rumah tangga. Fenomena ini memperlihatkan bahwa dimensi ekologi dan iklim memiliki korelasi kuat terhadap kestabilan akses dan ketersediaan pangan di kawasan gambut.</w:t>
      </w:r>
    </w:p>
    <w:p w14:paraId="52DE3505" w14:textId="353BA746" w:rsidR="009631D0" w:rsidRPr="009631D0" w:rsidRDefault="009631D0" w:rsidP="009631D0">
      <w:pPr>
        <w:spacing w:after="0" w:line="240" w:lineRule="auto"/>
        <w:jc w:val="both"/>
        <w:rPr>
          <w:color w:val="202124"/>
        </w:rPr>
      </w:pPr>
      <w:r w:rsidRPr="0016609A">
        <w:rPr>
          <w:color w:val="202124"/>
        </w:rPr>
        <w:t>Ketahanan pangan rumah tangga didefinisikan sebagai kondisi ketika setiap anggota ru</w:t>
      </w:r>
      <w:r w:rsidRPr="009631D0">
        <w:rPr>
          <w:color w:val="202124"/>
        </w:rPr>
        <w:t xml:space="preserve">mah tangga memiliki akses fisik, ekonomi, dan sosial terhadap pangan yang cukup, aman, dan bergizi untuk hidup aktif dan sehat. Literatur kontemporer menekankan empat pilar ketersediaan, akses, pemanfaatan, dan stabilitas serta dimensi guncangan (shock) dan resiliensi. Pada ekosistem gambut, pilar-pilar ini terhubung erat dengan karakteristik biofisik tanah, kerentanan kebakaran, serta volatilitas pasokan dan harga. Strategi pertanian berkelanjutan di lahan gambut berperan langsung dalam memperkuat empat pilar ketahanan pangan sekaligus mengurangi kerentanan rumah tangga terhadap risiko biofisik seperti kebakaran dan degradasi lahan </w:t>
      </w:r>
      <w:r w:rsidRPr="009631D0">
        <w:rPr>
          <w:color w:val="202124"/>
        </w:rPr>
        <w:fldChar w:fldCharType="begin" w:fldLock="1"/>
      </w:r>
      <w:r w:rsidRPr="009631D0">
        <w:rPr>
          <w:color w:val="202124"/>
        </w:rPr>
        <w:instrText>ADDIN CSL_CITATION {"citationItems":[{"id":"ITEM-1","itemData":{"DOI":"10.30872/ls.v4i1.2564","abstract":"PT Pertamina Gas OKA menginisiasi Program Pemberdayaan Masyarakat pada Masyarakat Lahan Gambut yang bertajuk TAMAN Sidrap. Program ini mengembangkan metode pertanian berkelanjutan terpadu yang bertujuan untuk meningkatkan produktivitas tanaman hortikultura di lahan gambut dan menurunkan biaya produksi pertanian untuk ketahanan pangan. Dalam pelaksanaan program, TAMAN Sidrap melibatkan 4 komunitas petani di Desa Sidrap dengan kegiatan berbeda di setiap kelompok yang terintegrasi untuk meningkatkan ekonomi sirkular. Program Pemberdayaan Masyarakat ini telah berjalan selama 3 tahun, dan telah memberikan dampak positif secara ekonomi, sosial dan lingkungan terhadap masyarakat petani di Desa Sidrap diantaranya, peningkatan produktivitas pertanian di lahan gambut sebesar 42%, efisiensi biaya produksi hortikultura sebesar 33%, 7 hari percepatan masa panen, dan 68% penurunan biaya pupuk dengan memproduksi kompos dari pemanfaatan limbah pertanian. Selain itu, masyarakat juga telah meningkatkan hasil pertanian dan mengelola pasar pertanian secara mandiri","author":[{"dropping-particle":"","family":"Lizana","given":"Jannah","non-dropping-particle":"","parse-names":false,"suffix":""}],"container-title":"Learning Society: Jurnal CSR, Pendidikan dan Pemberdayaan Masyarakat","id":"ITEM-1","issue":"1","issued":{"date-parts":[["2023"]]},"page":"275-284","title":"Pertanian Berkelanjutan Di Lahan Gambut Untuk Mewujudkan Ketahanan Pangan Dan Ekonomi Sirkular Masyarakat Tani Jalur Pipa Sidrap","type":"article-journal","volume":"4"},"uris":["http://www.mendeley.com/documents/?uuid=799d6cb2-fbab-44d3-8692-cba3eec28573","http://www.mendeley.com/documents/?uuid=52f4a9ff-74b0-4046-a501-8f811bf130a7"]}],"mendeley":{"formattedCitation":"(Lizana, 2023)","plainTextFormattedCitation":"(Lizana, 2023)","previouslyFormattedCitation":"(Lizana, 2023)"},"properties":{"noteIndex":0},"schema":"https://github.com/citation-style-language/schema/raw/master/csl-citation.json"}</w:instrText>
      </w:r>
      <w:r w:rsidRPr="009631D0">
        <w:rPr>
          <w:color w:val="202124"/>
        </w:rPr>
        <w:fldChar w:fldCharType="separate"/>
      </w:r>
      <w:r w:rsidRPr="009631D0">
        <w:rPr>
          <w:noProof/>
          <w:color w:val="202124"/>
        </w:rPr>
        <w:t>(Lizana, 2023)</w:t>
      </w:r>
      <w:r w:rsidRPr="009631D0">
        <w:rPr>
          <w:color w:val="202124"/>
        </w:rPr>
        <w:fldChar w:fldCharType="end"/>
      </w:r>
      <w:r w:rsidRPr="009631D0">
        <w:rPr>
          <w:color w:val="202124"/>
        </w:rPr>
        <w:t xml:space="preserve">. Pengukuran ketahanan pangan harus mencakup empat pilar utama sekaligus dimensi guncangan dan resiliensi agar analisis lebih komprehensif </w:t>
      </w:r>
      <w:r w:rsidRPr="009631D0">
        <w:rPr>
          <w:color w:val="202124"/>
        </w:rPr>
        <w:fldChar w:fldCharType="begin" w:fldLock="1"/>
      </w:r>
      <w:r w:rsidR="00F26398">
        <w:rPr>
          <w:color w:val="202124"/>
        </w:rPr>
        <w:instrText>ADDIN CSL_CITATION {"citationItems":[{"id":"ITEM-1","itemData":{"DOI":"10.3390/foods10112732","ISSN":"23048158","abstract":"The unadjusted intake of food constitutes a real challenge for the several sustainability dimensions. In this perspective, the main objectives of this research are to characterise the current contexts of food security, its relationship with sustainability, and identify proposals and actions that may support the design of more adjusted policies in the future. In addition, it is intended to assess if the food security pillars properly address the sustainability goals and if the evolution of undernutrition is accompanied by sustainable frameworks. In this way, statistical information from the FAOSTAT database was considered for the several dimensions of food security over the period 2000–2020. These data were analysed through factor-cluster approaches and panel data methodologies, namely those related to quantile regressions. As main insights, we may refer that undernutrition is more impacted by the availability of food and nutrients and political stability than by the level of GDP—Gross Domestic Product (except for the extreme cases). This means that the level of development is not the primary explanation for the problems of nutrition. The main focus of the national and international policies must be to improve the agrifood supply chains and to support political stability, in order to mitigate undernutrition worldwide and ensure a global access to sustainable and healthy diets. In addition, it is suggested to rethink the four pillars of food security (availability, access, utilisation and stability), in order to encompass other dimensions, such as climate change.","author":[{"dropping-particle":"","family":"Guiné","given":"Raquel de Pinho Ferreira","non-dropping-particle":"","parse-names":false,"suffix":""},{"dropping-particle":"","family":"Pato","given":"Maria Lúcia de Jesus","non-dropping-particle":"","parse-names":false,"suffix":""},{"dropping-particle":"","family":"Costa","given":"Cristina Amaro","non-dropping-particle":"da","parse-names":false,"suffix":""},{"dropping-particle":"","family":"Costa","given":"Daniela de Vasconcelos Teixeira Aguiar","non-dropping-particle":"da","parse-names":false,"suffix":""},{"dropping-particle":"","family":"Silva","given":"Paulo Barracosa Correia","non-dropping-particle":"da","parse-names":false,"suffix":""},{"dropping-particle":"","family":"Martinho","given":"Vítor João Pereira Domingues","non-dropping-particle":"","parse-names":false,"suffix":""}],"container-title":"Foods","id":"ITEM-1","issue":"11","issued":{"date-parts":[["2021"]]},"title":"Food security and sustainability: Discussing the four pillars to encompass other dimensions","type":"article-journal","volume":"10"},"uris":["http://www.mendeley.com/documents/?uuid=d32827d1-29d7-4ac1-8a43-dbffad385d2d","http://www.mendeley.com/documents/?uuid=76f71950-1659-49af-9504-584e7ca5388e"]}],"mendeley":{"formattedCitation":"(Guiné et al., 2021)","plainTextFormattedCitation":"(Guiné et al., 2021)","previouslyFormattedCitation":"(Guiné et al., 2021)"},"properties":{"noteIndex":0},"schema":"https://github.com/citation-style-language/schema/raw/master/csl-citation.json"}</w:instrText>
      </w:r>
      <w:r w:rsidRPr="009631D0">
        <w:rPr>
          <w:color w:val="202124"/>
        </w:rPr>
        <w:fldChar w:fldCharType="separate"/>
      </w:r>
      <w:r w:rsidRPr="009631D0">
        <w:rPr>
          <w:noProof/>
          <w:color w:val="202124"/>
        </w:rPr>
        <w:t>(Guiné et al., 2021)</w:t>
      </w:r>
      <w:r w:rsidRPr="009631D0">
        <w:rPr>
          <w:color w:val="202124"/>
        </w:rPr>
        <w:fldChar w:fldCharType="end"/>
      </w:r>
      <w:r w:rsidRPr="009631D0">
        <w:rPr>
          <w:color w:val="202124"/>
        </w:rPr>
        <w:t>.</w:t>
      </w:r>
    </w:p>
    <w:p w14:paraId="31A4EB84" w14:textId="07BF7F1B" w:rsidR="009631D0" w:rsidRPr="009631D0" w:rsidRDefault="009631D0" w:rsidP="009631D0">
      <w:pPr>
        <w:spacing w:after="0" w:line="240" w:lineRule="auto"/>
        <w:jc w:val="both"/>
        <w:rPr>
          <w:color w:val="202124"/>
        </w:rPr>
      </w:pPr>
      <w:r w:rsidRPr="009631D0">
        <w:rPr>
          <w:color w:val="202124"/>
        </w:rPr>
        <w:t xml:space="preserve">State of the art menunjukkan pergeseran dari pendekatan berbasis produksi semata menuju pendekatan sistem pangan terintegrasi yang memadukan aspek ekologi, sosial-ekonomi, dan tata kelola. Alat ukur seperti HFIAS, FIES, dan Food Consumption Score semakin umum digunakan, sementara model ekonometrik (logit/probit, indeks komposit) dipakai untuk mengestimasi determinan kerentanan. Pada lahan gambut, studi mutakhir menambahkan variabel lingkungan (kedalaman gambut, frekuensi kebakaran, akses air) dan variabel pasar (jarak pasar, biaya transportasi) untuk menjelaskan variasi ketahanan pangan antarrumah tangga. Kebijakan zero-burning dalam pengolahan lahan gambut tidak hanya berdampak ekologis, tetapi juga memicu perubahan sosial-ekonomi petani melalui adaptasi mata pencaharian, pergeseran strategi bertahan, serta tantangan baru dalam ketahanan pangan dan keberlanjutan lingkungan </w:t>
      </w:r>
      <w:r w:rsidRPr="009631D0">
        <w:rPr>
          <w:color w:val="202124"/>
        </w:rPr>
        <w:fldChar w:fldCharType="begin" w:fldLock="1"/>
      </w:r>
      <w:r w:rsidR="00F26398">
        <w:rPr>
          <w:color w:val="202124"/>
        </w:rPr>
        <w:instrText>ADDIN CSL_CITATION {"citationItems":[{"id":"ITEM-1","itemData":{"DOI":"10.24259/fs.v8i2.32262","ISSN":"25494333","abstract":"In Indonesia, forest and land fires have become an annual occurrence, with devastating effects. Following major fires in 2015, the government implemented policies restricting the use of fire in land preparation. This policy has affected the livelihoods of traditional farmers who still use fire for land clearing. The research aims to analyze the social changes that have occurred among traditional farmers as a result of the policy to ban burning in land preparation, and to assess its impact. The study was undertaken in Pulang Pisau Regency (Central Kalimantan) and Ogan Komering Ilir Regency (South Sumatera). Findings reveal two types of social transformation processes, namely, changes in agricultural commodities and changes in livelihoods. In general, fire policy restrictions in land preparation improved peatland ecosystems, but has had a detrimental impact on some rural communities living around peatlands. To anticipate these effects, the government promoted no-burn land preparation techniques and initiated a new paddy field construction scheme. However, both were less successful due to local resistance for their unsuitability in the local context.","author":[{"dropping-particle":"","family":"Ekawati","given":"Sulistya","non-dropping-particle":"","parse-names":false,"suffix":""},{"dropping-particle":"","family":"Siburian","given":"Robert","non-dropping-particle":"","parse-names":false,"suffix":""},{"dropping-particle":"","family":"Surati","given":"Surati","non-dropping-particle":"","parse-names":false,"suffix":""},{"dropping-particle":"","family":"Nurlia","given":"Ari","non-dropping-particle":"","parse-names":false,"suffix":""},{"dropping-particle":"","family":"Yanarita","given":"Yanarita","non-dropping-particle":"","parse-names":false,"suffix":""},{"dropping-particle":"","family":"Sundary","given":"Letsu Vella","non-dropping-particle":"","parse-names":false,"suffix":""}],"container-title":"Forest and Society","id":"ITEM-1","issue":"2","issued":{"date-parts":[["2024"]]},"page":"331-349","title":"Zero-Burning Policy in Land Preparation: Social Changes and Its Impact on Communities and the Environment","type":"article-journal","volume":"8"},"uris":["http://www.mendeley.com/documents/?uuid=0de76190-bcd2-48cc-b2d0-ac9228a8d362","http://www.mendeley.com/documents/?uuid=fb5272cb-1af5-4d14-af78-35d314640ab0"]}],"mendeley":{"formattedCitation":"(Ekawati et al., 2024)","plainTextFormattedCitation":"(Ekawati et al., 2024)","previouslyFormattedCitation":"(Ekawati et al., 2024)"},"properties":{"noteIndex":0},"schema":"https://github.com/citation-style-language/schema/raw/master/csl-citation.json"}</w:instrText>
      </w:r>
      <w:r w:rsidRPr="009631D0">
        <w:rPr>
          <w:color w:val="202124"/>
        </w:rPr>
        <w:fldChar w:fldCharType="separate"/>
      </w:r>
      <w:r w:rsidRPr="009631D0">
        <w:rPr>
          <w:noProof/>
          <w:color w:val="202124"/>
        </w:rPr>
        <w:t>(Ekawati et al., 2024)</w:t>
      </w:r>
      <w:r w:rsidRPr="009631D0">
        <w:rPr>
          <w:color w:val="202124"/>
        </w:rPr>
        <w:fldChar w:fldCharType="end"/>
      </w:r>
      <w:r w:rsidRPr="009631D0">
        <w:rPr>
          <w:color w:val="202124"/>
        </w:rPr>
        <w:t xml:space="preserve">. Pengembangan food estate di lahan gambut berisiko menimbulkan masalah sosial-ekonomi dan ekologis jika mengabaikan faktor lingkungan dan pasar, sehingga diperlukan pendekatan paludikultur dan tata kelola terintegrasi untuk memastikan ketahanan pangan dan keberlanjutan sumber daya </w:t>
      </w:r>
      <w:r w:rsidRPr="009631D0">
        <w:rPr>
          <w:color w:val="202124"/>
        </w:rPr>
        <w:fldChar w:fldCharType="begin" w:fldLock="1"/>
      </w:r>
      <w:r w:rsidR="00F26398">
        <w:rPr>
          <w:color w:val="202124"/>
        </w:rPr>
        <w:instrText>ADDIN CSL_CITATION {"citationItems":[{"id":"ITEM-1","itemData":{"DOI":"10.3390/su14073961","ISBN":"6208124859","ISSN":"20711050","abstract":"Given the huge impact of the COVID-19 pandemic on the food and agriculture sectors, rapid measures are needed to reduce the risk of food crises, especially among the poor and the most vulnerable communities. The government of Indonesia planned to establish the Food Estate National Program to ensure food security. Most of the area will be on peatlands, and as such, the program still faces pros and cons as it might open up opportunities for deforestation, threats to biodiversity, and loss of community livelihoods. We conducted the present research in Central Kalimantan to formulate a food estate (FE) development strategy by taking into account the potential benefits and risks to ensure increases in the local community’s welfare and the sustainability of biodiversity. Data were collected through field surveys, interviews, focus group discussion (FGD), and literature studies. The results show that the operation of a food estate on degraded peatlands has a moderate to high level of risk of negative impacts. Community activities and changes in farming methods through using more inputs and mechanical equipment are the most risky activities in FE development. The low substitutability of peatlands requires mitigation efforts as part of risk management. The operation of food systems on peatlands must be based on a strong sustainability perspective with a main principle of complementary resources. The main strategy is to protect natural resources and replace cultivated exotic plants with potential native peat plants with minimal risk. In addition, the policy and capacity building of farmers towards a business-oriented direction will maximize socioeconomic benefits. Utilization of biodiversity and low-impact cultivation techniques can ensure sustainability.","author":[{"dropping-particle":"","family":"Yeny","given":"Irma","non-dropping-particle":"","parse-names":false,"suffix":""},{"dropping-particle":"","family":"Garsetiasih","given":"Raden","non-dropping-particle":"","parse-names":false,"suffix":""},{"dropping-particle":"","family":"Suharti","given":"Sri","non-dropping-particle":"","parse-names":false,"suffix":""},{"dropping-particle":"","family":"Gunawan","given":"Hendra","non-dropping-particle":"","parse-names":false,"suffix":""},{"dropping-particle":"","family":"Sawitri","given":"Reny","non-dropping-particle":"","parse-names":false,"suffix":""},{"dropping-particle":"","family":"Karlina","given":"Endang","non-dropping-particle":"","parse-names":false,"suffix":""},{"dropping-particle":"","family":"Narendra","given":"Budi Hadi","non-dropping-particle":"","parse-names":false,"suffix":""},{"dropping-particle":"","family":"Surati","given":"","non-dropping-particle":"","parse-names":false,"suffix":""},{"dropping-particle":"","family":"Ekawati","given":"Sulistya","non-dropping-particle":"","parse-names":false,"suffix":""},{"dropping-particle":"","family":"Djaenudin","given":"Deden","non-dropping-particle":"","parse-names":false,"suffix":""},{"dropping-particle":"","family":"Rachmanadi","given":"Dony","non-dropping-particle":"","parse-names":false,"suffix":""},{"dropping-particle":"","family":"Heriyanto","given":"Nur Muhammad","non-dropping-particle":"","parse-names":false,"suffix":""},{"dropping-particle":"","family":"Sylviani","given":"","non-dropping-particle":"","parse-names":false,"suffix":""},{"dropping-particle":"","family":"Takandjandji","given":"Mariana","non-dropping-particle":"","parse-names":false,"suffix":""}],"container-title":"Sustainability (Switzerland)","id":"ITEM-1","issue":"7","issued":{"date-parts":[["2022"]]},"page":"1-29","title":"Examining the Socio-Economic and Natural Resource Risks of Food Estate Development on Peatlands: A Strategy for Economic Recovery and Natural Resource Sustainability","type":"article-journal","volume":"14"},"uris":["http://www.mendeley.com/documents/?uuid=bb101cdf-d8ff-4833-bae8-7cbd344663ed","http://www.mendeley.com/documents/?uuid=399bafd2-995f-4558-adf5-b6321f67deeb"]}],"mendeley":{"formattedCitation":"(Yeny et al., 2022)","plainTextFormattedCitation":"(Yeny et al., 2022)","previouslyFormattedCitation":"(Yeny et al., 2022)"},"properties":{"noteIndex":0},"schema":"https://github.com/citation-style-language/schema/raw/master/csl-citation.json"}</w:instrText>
      </w:r>
      <w:r w:rsidRPr="009631D0">
        <w:rPr>
          <w:color w:val="202124"/>
        </w:rPr>
        <w:fldChar w:fldCharType="separate"/>
      </w:r>
      <w:r w:rsidRPr="009631D0">
        <w:rPr>
          <w:noProof/>
          <w:color w:val="202124"/>
        </w:rPr>
        <w:t>(Yeny et al., 2022)</w:t>
      </w:r>
      <w:r w:rsidRPr="009631D0">
        <w:rPr>
          <w:color w:val="202124"/>
        </w:rPr>
        <w:fldChar w:fldCharType="end"/>
      </w:r>
      <w:r w:rsidRPr="009631D0">
        <w:rPr>
          <w:color w:val="202124"/>
        </w:rPr>
        <w:t>.</w:t>
      </w:r>
    </w:p>
    <w:p w14:paraId="1EEBF39B" w14:textId="34CBD0A4" w:rsidR="009631D0" w:rsidRPr="009631D0" w:rsidRDefault="009631D0" w:rsidP="009631D0">
      <w:pPr>
        <w:spacing w:after="0" w:line="240" w:lineRule="auto"/>
        <w:jc w:val="both"/>
        <w:rPr>
          <w:color w:val="202124"/>
        </w:rPr>
      </w:pPr>
      <w:r w:rsidRPr="009631D0">
        <w:rPr>
          <w:color w:val="202124"/>
        </w:rPr>
        <w:t xml:space="preserve">Penelitian di wilayah serupa menegaskan pentingnya strategi adaptasi rumah tangga diversifikasi pendapatan, praktik pertanian tahan gambut, kebun pangan rumah tangga, dan jejaring sosial sebagai </w:t>
      </w:r>
      <w:r w:rsidRPr="009631D0">
        <w:rPr>
          <w:color w:val="202124"/>
        </w:rPr>
        <w:lastRenderedPageBreak/>
        <w:t xml:space="preserve">mediator antara kondisi biofisik dan hasil ketahanan pangan. Intervensi publik yang efektif cenderung bersifat kombinasi: restorasi ekosistem, penyuluhan, perbaikan logistik, dan bantuan sosial yang tepat sasaran. Dalam konteks Palangka Raya, ketergantungan pada pasokan antardaerah dan risiko kebakaran musiman memperkuat urgensi desain kebijakan yang adaptif. Kebun pangan rumah tangga dan praktik agroforestry pada komunitas gambut berperan penting dalam memperkuat ketahanan ekonomi melalui diversifikasi pendapatan sekaligus menjadi strategi adaptasi terhadap risiko kebakaran dan perubahan iklim </w:t>
      </w:r>
      <w:r w:rsidRPr="009631D0">
        <w:rPr>
          <w:color w:val="202124"/>
        </w:rPr>
        <w:fldChar w:fldCharType="begin" w:fldLock="1"/>
      </w:r>
      <w:r w:rsidR="00F26398">
        <w:rPr>
          <w:color w:val="202124"/>
        </w:rPr>
        <w:instrText>ADDIN CSL_CITATION {"citationItems":[{"id":"ITEM-1","itemData":{"DOI":"10.1088/1755-1315/1315/1/012003","ISSN":"17551315","abstract":"Land use with mixed crop cultivation practices, or agroforestry, is currently important for small farmers because it provides economic resilience and ecosystem-based solutions for climate change adaptation.This research is to examine the role of agroforestry in the homegarden of communities living on peatlands in supporting household economic resilience and the impact of climate change on their livelihoods.In-depth interviews using questionnaires and field observations were carried out for data collection.The research results show that agroforestry based on fruit plants such as Durio kutejensis, Artocarpus champeden, Lansium domesticum, and Parkia speciosa is found in Pulang Pisau Regency, while the mixed crop pattern of Pinang catechu, Coffea liberica, and Cocos nucifera is found in West Tanjung Jabung Regency.This type of land use provides economic stability for farming households on peatlands.Farmer experience and knowledge, species preferences, markets, land ownership, and labor availability are considered in implementing mixed cropping systems.Access to credit and capital and increasing farmers' abilities during harvest and post-harvest are really needed by farmers.Therefore, support from various stakeholders and pro-farmer policies is needed so that mixed cropping systems can improve the livelihoods of small farmers and reduce their vulnerability to climate change.","author":[{"dropping-particle":"","family":"Premono","given":"Bambang Tejo","non-dropping-particle":"","parse-names":false,"suffix":""},{"dropping-particle":"","family":"Wakhid","given":"Nur","non-dropping-particle":"","parse-names":false,"suffix":""},{"dropping-particle":"","family":"Handayani","given":"Dewi","non-dropping-particle":"","parse-names":false,"suffix":""},{"dropping-particle":"","family":"Nurzakiah","given":"Siti","non-dropping-particle":"","parse-names":false,"suffix":""},{"dropping-particle":"","family":"Tata","given":"Hesti Lestari","non-dropping-particle":"","parse-names":false,"suffix":""}],"container-title":"IOP Conference Series: Earth and Environmental Science","id":"ITEM-1","issue":"1","issued":{"date-parts":[["2024"]]},"title":"Home garden mixed cropping practice by communities living on peatland in household's income resilience and climate adaptation","type":"article-journal","volume":"1315"},"uris":["http://www.mendeley.com/documents/?uuid=1edf5e96-cc35-45f2-bda9-1fd6954fcce9","http://www.mendeley.com/documents/?uuid=4bccc9f0-3c1e-4515-bf7b-61a9d9233aaa"]}],"mendeley":{"formattedCitation":"(Premono et al., 2024)","plainTextFormattedCitation":"(Premono et al., 2024)","previouslyFormattedCitation":"(Premono et al., 2024)"},"properties":{"noteIndex":0},"schema":"https://github.com/citation-style-language/schema/raw/master/csl-citation.json"}</w:instrText>
      </w:r>
      <w:r w:rsidRPr="009631D0">
        <w:rPr>
          <w:color w:val="202124"/>
        </w:rPr>
        <w:fldChar w:fldCharType="separate"/>
      </w:r>
      <w:r w:rsidRPr="009631D0">
        <w:rPr>
          <w:noProof/>
          <w:color w:val="202124"/>
        </w:rPr>
        <w:t>(Premono et al., 2024)</w:t>
      </w:r>
      <w:r w:rsidRPr="009631D0">
        <w:rPr>
          <w:color w:val="202124"/>
        </w:rPr>
        <w:fldChar w:fldCharType="end"/>
      </w:r>
      <w:r w:rsidRPr="009631D0">
        <w:rPr>
          <w:color w:val="202124"/>
        </w:rPr>
        <w:t xml:space="preserve">. Kerentanan rumah tangga di lahan gambut sangat dipengaruhi oleh kombinasi faktor biofisik, sosial-ekonomi, dan mata pencaharian, sehingga strategi diversifikasi, penguatan jejaring sosial, dan intervensi publik terpadu menjadi kunci dalam mengurangi dampak kebakaran dan meningkatkan ketahanan pangan </w:t>
      </w:r>
      <w:r w:rsidRPr="009631D0">
        <w:rPr>
          <w:color w:val="202124"/>
        </w:rPr>
        <w:fldChar w:fldCharType="begin" w:fldLock="1"/>
      </w:r>
      <w:r w:rsidR="00F26398">
        <w:rPr>
          <w:color w:val="202124"/>
        </w:rPr>
        <w:instrText>ADDIN CSL_CITATION {"citationItems":[{"id":"ITEM-1","itemData":{"DOI":"10.3390/land13050642","ISSN":"2073445X","abstract":"Land and forest fires in peatland areas in Indonesia have a widespread negative impact on surrounding communities. Possible vulnerabilities relate to economic, social, ecological, livelihoods, and environmental vulnerability. This study aimed to assess household vulnerability due to land and forest fires in peatland areas in Ogan Komering Ilir District in South Sumatra and observe changes in peat ecosystems in those areas. The study was conducted in three peatland hydrological units (PHUs)—(1) PHU Sungai Sugihan–Sungai Lumpur; (2) PHU Sungai Sibumbung–Sungai Batok; and (3) PHU Sungai Saleh–Sungai Sugihan—covering 300 households as samples. Primary data were collected through structured interviews and analyzed descriptively. The analysis revealed the following: (1) PHU Sungai Sibumbung–Sungai Batok had the highest score for livelihood vulnerability and climate change but the lowest score for social, economic, and ecological vulnerability; (2) PHU Sungai Saleh–Sungai Sugihan had the highest score for economic and ecological vulnerability but the lowest score for livelihood vulnerability; (3) PHU Sungai Sugihan–Sungai Lumpur had the highest score for social vulnerability but lowest score for climate change vulnerability; and (4) the number of household members, toddlers, and elderly, and all economic indicators except land ownership, contributed relatively similarly to social vulnerability in all PHUs.","author":[{"dropping-particle":"","family":"Yazid","given":"Muhammad","non-dropping-particle":"","parse-names":false,"suffix":""},{"dropping-particle":"","family":"Adriani","given":"Dessy","non-dropping-particle":"","parse-names":false,"suffix":""},{"dropping-particle":"","family":"Riswani","given":"","non-dropping-particle":"","parse-names":false,"suffix":""},{"dropping-particle":"","family":"Damayanthy","given":"Dini","non-dropping-particle":"","parse-names":false,"suffix":""}],"container-title":"Land","id":"ITEM-1","issue":"5","issued":{"date-parts":[["2024"]]},"title":"Farm Household Vulnerability Due to Land and Forest Fire in Peatland Areas in South Sumatra","type":"article-journal","volume":"13"},"uris":["http://www.mendeley.com/documents/?uuid=a49cf65b-3b77-41d0-b74a-cf099fa0773f","http://www.mendeley.com/documents/?uuid=2bfd6bde-caa2-44e0-9df9-5175451c705d"]}],"mendeley":{"formattedCitation":"(Yazid et al., 2024)","plainTextFormattedCitation":"(Yazid et al., 2024)","previouslyFormattedCitation":"(Yazid et al., 2024)"},"properties":{"noteIndex":0},"schema":"https://github.com/citation-style-language/schema/raw/master/csl-citation.json"}</w:instrText>
      </w:r>
      <w:r w:rsidRPr="009631D0">
        <w:rPr>
          <w:color w:val="202124"/>
        </w:rPr>
        <w:fldChar w:fldCharType="separate"/>
      </w:r>
      <w:r w:rsidRPr="009631D0">
        <w:rPr>
          <w:noProof/>
          <w:color w:val="202124"/>
        </w:rPr>
        <w:t>(Yazid et al., 2024)</w:t>
      </w:r>
      <w:r w:rsidRPr="009631D0">
        <w:rPr>
          <w:color w:val="202124"/>
        </w:rPr>
        <w:fldChar w:fldCharType="end"/>
      </w:r>
      <w:r w:rsidRPr="009631D0">
        <w:rPr>
          <w:color w:val="202124"/>
        </w:rPr>
        <w:t>.</w:t>
      </w:r>
    </w:p>
    <w:p w14:paraId="5CED542E" w14:textId="65AB6F1F" w:rsidR="009631D0" w:rsidRPr="009631D0" w:rsidRDefault="009631D0" w:rsidP="009631D0">
      <w:pPr>
        <w:spacing w:after="0" w:line="240" w:lineRule="auto"/>
        <w:jc w:val="both"/>
        <w:rPr>
          <w:color w:val="202124"/>
        </w:rPr>
      </w:pPr>
      <w:r w:rsidRPr="009631D0">
        <w:rPr>
          <w:color w:val="202124"/>
        </w:rPr>
        <w:t xml:space="preserve">Pustaka lima tahun terakhir juga menyoroti pentingnya perspektif gender dan gizi: keputusan intra-rumah tangga, literasi gizi, serta pola konsumsi dikombinasikan dengan indikator akses (HFIAS) memberi gambaran lebih kaya tentang ketahanan gizi, bukan sekadar kecukupan kalori. Selain itu, transformasi digital (informasi harga real-time, e-commerce lokal) mulai diujicobakan untuk menurunkan biaya pencarian dan memperbaiki akses. Kesetaraan gender dalam rumah tangga berperan signifikan meningkatkan keamanan pangan dan kualitas pola makan anak, sebagaimana ditunjukkan melalui pengukuran HFIAS </w:t>
      </w:r>
      <w:r w:rsidRPr="009631D0">
        <w:rPr>
          <w:color w:val="202124"/>
        </w:rPr>
        <w:fldChar w:fldCharType="begin" w:fldLock="1"/>
      </w:r>
      <w:r w:rsidR="00F26398">
        <w:rPr>
          <w:color w:val="202124"/>
        </w:rPr>
        <w:instrText>ADDIN CSL_CITATION {"citationItems":[{"id":"ITEM-1","itemData":{"DOI":"10.20473/amnt.v7i3.2023.365-376","ISSN":"25809776","abstract":"Backgrounds: More women experience gender inequality even though they play a significant role in household food security. Women have more limited access to education and employment opportunities, thus affecting economic autonomy and lower bargaining power within the household. Gender inequality experienced by women has an impact on household food insecurity. Objectives: To analyze differences in the eating habits of families and children under five and household food security among households with high and low gender equality. Methods: This cross-sectional study was conducted in areas of low and high gender inequality in Indonesia. A total of 303 households with children under five participated in this study. Data collection included family characteristics, Household Food Insecurity Access Scale (HFIAS), and families and children's eating habits. The Mann-Whitney difference test examined the differences between variables in two areas. Results: Food insecurity prevalence in low gender equality areas (moderately food insecure 45.6%, severe 23.8%), significant differences (p&lt;0.05) within high gender equality areas (moderately food insecure 34.6%, severe 17.3%). Families in areas of high gender equality, more frequently eating three meals a day (p&lt;0.001), eating together (p=0.003), husbands (p&lt;0.001), and children (p&lt;0.001), have a higher role as menu deciders. There were significant differences (p&lt;0.05) in the eating habits of children under five in the two areas. Conclusions: Households in low gender equality areas are more food insecure and have low-income family eating habits than high gender equality areas. Therefore, special attention is needed from the government to improve gender equality through increased education and women's economic empowerment.","author":[{"dropping-particle":"","family":"Tanziha","given":"Ikeu","non-dropping-particle":"","parse-names":false,"suffix":""},{"dropping-particle":"","family":"Khomsan","given":"Ali","non-dropping-particle":"","parse-names":false,"suffix":""},{"dropping-particle":"","family":"Sumarti","given":"Titik","non-dropping-particle":"","parse-names":false,"suffix":""},{"dropping-particle":"","family":"Dina","given":"Resa Ana","non-dropping-particle":"","parse-names":false,"suffix":""},{"dropping-particle":"","family":"Diana","given":"Rian","non-dropping-particle":"","parse-names":false,"suffix":""},{"dropping-particle":"","family":"Rohmaeni","given":"Yeni","non-dropping-particle":"","parse-names":false,"suffix":""}],"container-title":"Amerta Nutrition","id":"ITEM-1","issue":"3","issued":{"date-parts":[["2023"]]},"page":"365-376","title":"Children’s Food Habits and Food Security among Households in Low and High Gender Equality in Indonesia","type":"article-journal","volume":"7"},"uris":["http://www.mendeley.com/documents/?uuid=90366ec6-6fb8-4913-8927-85dfae6bf7ba","http://www.mendeley.com/documents/?uuid=c97daed7-d316-4909-af6a-247cf5b71429"]}],"mendeley":{"formattedCitation":"(Tanziha et al., 2023)","plainTextFormattedCitation":"(Tanziha et al., 2023)","previouslyFormattedCitation":"(Tanziha et al., 2023)"},"properties":{"noteIndex":0},"schema":"https://github.com/citation-style-language/schema/raw/master/csl-citation.json"}</w:instrText>
      </w:r>
      <w:r w:rsidRPr="009631D0">
        <w:rPr>
          <w:color w:val="202124"/>
        </w:rPr>
        <w:fldChar w:fldCharType="separate"/>
      </w:r>
      <w:r w:rsidRPr="009631D0">
        <w:rPr>
          <w:noProof/>
          <w:color w:val="202124"/>
        </w:rPr>
        <w:t>(Tanziha et al., 2023)</w:t>
      </w:r>
      <w:r w:rsidRPr="009631D0">
        <w:rPr>
          <w:color w:val="202124"/>
        </w:rPr>
        <w:fldChar w:fldCharType="end"/>
      </w:r>
      <w:r w:rsidRPr="009631D0">
        <w:rPr>
          <w:color w:val="202124"/>
        </w:rPr>
        <w:t xml:space="preserve">. Analisis ketahanan gizi perlu mempertimbangkan ketimpangan intra-rumah tangga karena perempuan dan anak-anak tetap rentan meski rumah tangga tidak tergolong miskin pangan, sehingga perspektif gender dan indikator akses menjadi krusial </w:t>
      </w:r>
      <w:r w:rsidRPr="009631D0">
        <w:rPr>
          <w:color w:val="202124"/>
        </w:rPr>
        <w:fldChar w:fldCharType="begin" w:fldLock="1"/>
      </w:r>
      <w:r w:rsidR="00F26398">
        <w:rPr>
          <w:color w:val="202124"/>
        </w:rPr>
        <w:instrText>ADDIN CSL_CITATION {"citationItems":[{"id":"ITEM-1","itemData":{"DOI":"10.1007/s12571-024-01485-6","ISBN":"0123456789","ISSN":"18764525","abstract":"Many welfare measures, including food expenditures and diet quality, are based on household-level aggregates. This is grounded in the assumption that resources are equally or equitably distributed among household members. Individual-level measures of food expenditures and diet quality may paint a more accurate picture of welfare. We find differences between household- and individual-level measurements of food expenditures and diet quality in the Philippines. We find that 25 percent of food poor individuals live in households that are not classified as food poor. This suggests potential misclassification of individuals if classifications are based on household-level measures. We further find intra-household inequalities in diet quality. Many women and children do not meet the recommended consumption for starchy staples and for meat, fish, and pulses, even within households which, in aggregate, are able to meet the recommended consumption. However, consumption of vegetables, fruits, eggs, and milk is equally low across all household members.","author":[{"dropping-particle":"","family":"Wang","given":"Zetianyu","non-dropping-particle":"","parse-names":false,"suffix":""},{"dropping-particle":"","family":"Josephson","given":"Anna","non-dropping-particle":"","parse-names":false,"suffix":""},{"dropping-particle":"","family":"Dizon","given":"Felipe","non-dropping-particle":"","parse-names":false,"suffix":""}],"container-title":"Food Security","id":"ITEM-1","issue":"1","issued":{"date-parts":[["2025"]]},"number-of-pages":"293-330","publisher":"Springer Netherlands","title":"Intra-household inequality in food expenditures and diet quality in the Philippines","type":"book","volume":"17"},"uris":["http://www.mendeley.com/documents/?uuid=b8499e69-abee-4d94-83e0-4917b88bf421","http://www.mendeley.com/documents/?uuid=21e05f17-2308-4f2d-8115-a952c1ef052a"]}],"mendeley":{"formattedCitation":"(Wang et al., 2025)","plainTextFormattedCitation":"(Wang et al., 2025)","previouslyFormattedCitation":"(Wang et al., 2025)"},"properties":{"noteIndex":0},"schema":"https://github.com/citation-style-language/schema/raw/master/csl-citation.json"}</w:instrText>
      </w:r>
      <w:r w:rsidRPr="009631D0">
        <w:rPr>
          <w:color w:val="202124"/>
        </w:rPr>
        <w:fldChar w:fldCharType="separate"/>
      </w:r>
      <w:r w:rsidRPr="009631D0">
        <w:rPr>
          <w:noProof/>
          <w:color w:val="202124"/>
        </w:rPr>
        <w:t>(Wang et al., 2025)</w:t>
      </w:r>
      <w:r w:rsidRPr="009631D0">
        <w:rPr>
          <w:color w:val="202124"/>
        </w:rPr>
        <w:fldChar w:fldCharType="end"/>
      </w:r>
      <w:r w:rsidRPr="009631D0">
        <w:rPr>
          <w:color w:val="202124"/>
        </w:rPr>
        <w:t>.</w:t>
      </w:r>
    </w:p>
    <w:p w14:paraId="0A5E9ECB" w14:textId="36148FBA" w:rsidR="00F26398" w:rsidRPr="009631D0" w:rsidRDefault="009631D0" w:rsidP="009631D0">
      <w:pPr>
        <w:spacing w:after="0" w:line="240" w:lineRule="auto"/>
        <w:jc w:val="both"/>
        <w:rPr>
          <w:color w:val="202124"/>
        </w:rPr>
      </w:pPr>
      <w:r w:rsidRPr="009631D0">
        <w:rPr>
          <w:color w:val="202124"/>
        </w:rPr>
        <w:t xml:space="preserve">Kesenjangan </w:t>
      </w:r>
      <w:r w:rsidRPr="007E18A3">
        <w:rPr>
          <w:color w:val="202124"/>
        </w:rPr>
        <w:t>pen</w:t>
      </w:r>
      <w:r w:rsidR="007E18A3" w:rsidRPr="007E18A3">
        <w:rPr>
          <w:color w:val="202124"/>
        </w:rPr>
        <w:t>elitian</w:t>
      </w:r>
      <w:r w:rsidRPr="009631D0">
        <w:rPr>
          <w:color w:val="202124"/>
        </w:rPr>
        <w:t xml:space="preserve"> (research gaps) yang relevan adalah: (i) keterbatasan data panel berbasis rumah tangga di kawasan gambut untuk menangkap dinamika musiman dan guncangan; (ii) integrasi variabel lingkungan beresolusi spasial tinggi ke dalam model ketahanan pangan rumah tangga; (iii) evaluasi kausal kebijakan terpadu restorasi gambut, infrastruktur pasar, dan perlindungan sosial terhadap hasil gizi; dan (iv) interoperabilitas data lintas lembaga untuk perencanaan berbasis bukti. Penguatan sistem pemantauan pertanian nasional membutuhkan integrasi data geospasial beresolusi tinggi dengan standar interoperabilitas yang jelas agar mampu mendukung ketahanan pangan dan perencanaan berbasis bukti </w:t>
      </w:r>
      <w:r w:rsidRPr="009631D0">
        <w:rPr>
          <w:color w:val="202124"/>
        </w:rPr>
        <w:fldChar w:fldCharType="begin" w:fldLock="1"/>
      </w:r>
      <w:r w:rsidR="00F26398">
        <w:rPr>
          <w:color w:val="202124"/>
        </w:rPr>
        <w:instrText>ADDIN CSL_CITATION {"citationItems":[{"id":"ITEM-1","itemData":{"author":[{"dropping-particle":"","family":"Shofiyati","given":"Rizatus","non-dropping-particle":"","parse-names":false,"suffix":""},{"dropping-particle":"","family":"Payani","given":"Agnes Sondita","non-dropping-particle":"","parse-names":false,"suffix":""},{"dropping-particle":"","family":"Kustiyo","given":"Kustiyo","non-dropping-particle":"","parse-names":false,"suffix":""},{"dropping-particle":"","family":"Khomarudin","given":"Muhammad Rokhis","non-dropping-particle":"","parse-names":false,"suffix":""}],"id":"ITEM-1","issue":"1","issued":{"date-parts":[["2025"]]},"page":"975-994","title":"From evaluation to innovation : Strengthening geospatial agricultural monitoring information system in Indonesia","type":"article-journal","volume":"4"},"uris":["http://www.mendeley.com/documents/?uuid=a923be6a-edd9-4e6b-90c3-facb033e5dcc","http://www.mendeley.com/documents/?uuid=52766ef8-a93b-4d7c-8f65-0fc32db6e0e0"]}],"mendeley":{"formattedCitation":"(Shofiyati et al., 2025)","plainTextFormattedCitation":"(Shofiyati et al., 2025)","previouslyFormattedCitation":"(Shofiyati et al., 2025)"},"properties":{"noteIndex":0},"schema":"https://github.com/citation-style-language/schema/raw/master/csl-citation.json"}</w:instrText>
      </w:r>
      <w:r w:rsidRPr="009631D0">
        <w:rPr>
          <w:color w:val="202124"/>
        </w:rPr>
        <w:fldChar w:fldCharType="separate"/>
      </w:r>
      <w:r w:rsidRPr="009631D0">
        <w:rPr>
          <w:noProof/>
          <w:color w:val="202124"/>
        </w:rPr>
        <w:t>(Shofiyati et al., 2025)</w:t>
      </w:r>
      <w:r w:rsidRPr="009631D0">
        <w:rPr>
          <w:color w:val="202124"/>
        </w:rPr>
        <w:fldChar w:fldCharType="end"/>
      </w:r>
      <w:r w:rsidRPr="009631D0">
        <w:rPr>
          <w:color w:val="202124"/>
        </w:rPr>
        <w:t xml:space="preserve">. Penerapan model agroforestry di lahan gambut dapat sekaligus melindungi ekosistem dan meningkatkan penghidupan masyarakat, sehingga relevan sebagai dasar evaluasi kebijakan restorasi terpadu yang berdampak pada ketahanan pangan dan kesejahteraan </w:t>
      </w:r>
      <w:r w:rsidRPr="009631D0">
        <w:rPr>
          <w:color w:val="202124"/>
        </w:rPr>
        <w:fldChar w:fldCharType="begin" w:fldLock="1"/>
      </w:r>
      <w:r w:rsidR="00F26398">
        <w:rPr>
          <w:color w:val="202124"/>
        </w:rPr>
        <w:instrText>ADDIN CSL_CITATION {"citationItems":[{"id":"ITEM-1","itemData":{"DOI":"10.1007/s13280-021-01595-x","ISBN":"1328002101","ISSN":"16547209","PMID":"34231133","abstract":"Indonesia is home to around 45% of the world’s tropical peatlands which continue to be degraded on a large scale by deforestation, drainage and fire, contributing massively to global GHG emissions. Approaches to restoring the peat–water balance and reducing emissions in peat hydrological units, through managing them based either on full protection or large-scale commercial production, have generally failed to address environmental and local community needs. We present published and unpublished findings pointing to the need for an integrated peatland protection and restoration strategy based first on raising water levels in degraded (drained) peatlands and maintaining them in forested peatlands, thus, reducing GHG emissions. Second, the strategy incorporates ecologically sound agroforestry business models that strengthen livelihoods of smallholders and so sustain their interest in sustainably managing the peatlands. In this paper, we focus on the second element of this strategy in Indonesia. Eight agroforestry business models are proposed based on their merits to attract both smallholders and commercial investors as well as their compatibility with hydrological rehabilitation of the peatlands. While financial returns on investment will vary across sites and countries, our analysis indicates that some models can be profitable over both short and longer time periods with relatively low levels of investment risk.","author":[{"dropping-particle":"","family":"Applegate","given":"Grahame","non-dropping-particle":"","parse-names":false,"suffix":""},{"dropping-particle":"","family":"Freeman","given":"Blair","non-dropping-particle":"","parse-names":false,"suffix":""},{"dropping-particle":"","family":"Tular","given":"Benjamin","non-dropping-particle":"","parse-names":false,"suffix":""},{"dropping-particle":"","family":"Sitadevi","given":"Latifa","non-dropping-particle":"","parse-names":false,"suffix":""},{"dropping-particle":"","family":"Jessup","given":"Timothy C.","non-dropping-particle":"","parse-names":false,"suffix":""}],"container-title":"Ambio","id":"ITEM-1","issue":"4","issued":{"date-parts":[["2022"]]},"page":"863-874","publisher":"Springer Netherlands","title":"Application of agroforestry business models to tropical peatland restoration","type":"article-journal","volume":"51"},"uris":["http://www.mendeley.com/documents/?uuid=cc7000f2-3adf-4c40-9c42-e5d400143b3b","http://www.mendeley.com/documents/?uuid=de84ff69-2fa5-4e10-889d-4032967ebf65"]}],"mendeley":{"formattedCitation":"(Applegate et al., 2022)","plainTextFormattedCitation":"(Applegate et al., 2022)","previouslyFormattedCitation":"(Applegate et al., 2022)"},"properties":{"noteIndex":0},"schema":"https://github.com/citation-style-language/schema/raw/master/csl-citation.json"}</w:instrText>
      </w:r>
      <w:r w:rsidRPr="009631D0">
        <w:rPr>
          <w:color w:val="202124"/>
        </w:rPr>
        <w:fldChar w:fldCharType="separate"/>
      </w:r>
      <w:r w:rsidRPr="009631D0">
        <w:rPr>
          <w:noProof/>
          <w:color w:val="202124"/>
        </w:rPr>
        <w:t>(Applegate et al., 2022)</w:t>
      </w:r>
      <w:r w:rsidRPr="009631D0">
        <w:rPr>
          <w:color w:val="202124"/>
        </w:rPr>
        <w:fldChar w:fldCharType="end"/>
      </w:r>
      <w:r w:rsidRPr="009631D0">
        <w:rPr>
          <w:color w:val="202124"/>
        </w:rPr>
        <w:t>.</w:t>
      </w:r>
    </w:p>
    <w:p w14:paraId="5F910D29" w14:textId="77777777" w:rsidR="00F26398" w:rsidRDefault="001355CB" w:rsidP="000850B4">
      <w:pPr>
        <w:spacing w:after="0" w:line="240" w:lineRule="auto"/>
        <w:jc w:val="both"/>
        <w:rPr>
          <w:color w:val="202124"/>
        </w:rPr>
      </w:pPr>
      <w:r w:rsidRPr="001355CB">
        <w:rPr>
          <w:color w:val="202124"/>
        </w:rPr>
        <w:t xml:space="preserve">Penelitian ini dilakukan untuk menganalisis ketahanan pangan rumah tangga di kawasan gambut Kota Palangka Raya dengan pendekatan kuantitatif, meliputi variabel sosial ekonomi, lingkungan, dan tingkat konsumsi rumah tangga. Melalui pengumpulan dan analisis data sekunder, penelitian ini bertujuan mengidentifikasi faktor-faktor yang secara signifikan memengaruhi ketahanan pangan rumah tangga, serta mengukur tingkat kerentanannya berdasarkan indikator ketersediaan, akses, dan pemanfaatan pangan. </w:t>
      </w:r>
    </w:p>
    <w:p w14:paraId="7303F689" w14:textId="77777777" w:rsidR="00C6661A" w:rsidRDefault="00C6661A" w:rsidP="00C6661A">
      <w:pPr>
        <w:spacing w:after="0" w:line="240" w:lineRule="auto"/>
        <w:jc w:val="both"/>
        <w:rPr>
          <w:b/>
          <w:bCs/>
          <w:color w:val="202124"/>
        </w:rPr>
      </w:pPr>
    </w:p>
    <w:p w14:paraId="023DA0D0" w14:textId="6B08DC45" w:rsidR="00F26398" w:rsidRPr="00C6661A" w:rsidRDefault="00F26398" w:rsidP="00C6661A">
      <w:pPr>
        <w:spacing w:after="0" w:line="240" w:lineRule="auto"/>
        <w:jc w:val="both"/>
        <w:rPr>
          <w:b/>
          <w:bCs/>
          <w:color w:val="202124"/>
        </w:rPr>
      </w:pPr>
      <w:r w:rsidRPr="00C6661A">
        <w:rPr>
          <w:b/>
          <w:bCs/>
          <w:color w:val="202124"/>
        </w:rPr>
        <w:t>Teori Ketahanan Pangan (Food Security Theory)</w:t>
      </w:r>
    </w:p>
    <w:p w14:paraId="36C43F75" w14:textId="5E106ABB" w:rsidR="00F26398" w:rsidRPr="009A4550" w:rsidRDefault="00F26398" w:rsidP="009A4550">
      <w:pPr>
        <w:spacing w:after="0" w:line="240" w:lineRule="auto"/>
        <w:jc w:val="both"/>
        <w:rPr>
          <w:color w:val="202124"/>
        </w:rPr>
      </w:pPr>
      <w:r w:rsidRPr="009A4550">
        <w:rPr>
          <w:color w:val="202124"/>
        </w:rPr>
        <w:t>Konsep ketahanan pangan merujuk pada definisi FAO (Food and Agriculture Organization), yang menyatakan bahwa ketahanan pangan tercapai ketika seluruh rumah tangga memiliki ketersediaan, akses, dan pemanfaatan pangan yang cukup, aman, dan bergizi untuk menjalani kehidupan yang aktif dan sehat. Teori ini menegaskan bahwa ketahanan pangan tidak hanya ditentukan oleh ketersediaan fisik pangan, tetapi oleh kemampuan ekonomi dan sosial rumah tangga dalam mengakses serta memanfaatkan pangan secara optimal</w:t>
      </w:r>
      <w:r w:rsidR="006C0AD0" w:rsidRPr="009A4550">
        <w:rPr>
          <w:color w:val="202124"/>
        </w:rPr>
        <w:t xml:space="preserve"> </w:t>
      </w:r>
      <w:r w:rsidR="006C0AD0" w:rsidRPr="009A4550">
        <w:rPr>
          <w:color w:val="202124"/>
        </w:rPr>
        <w:fldChar w:fldCharType="begin" w:fldLock="1"/>
      </w:r>
      <w:r w:rsidR="00782F55" w:rsidRPr="009A4550">
        <w:rPr>
          <w:color w:val="202124"/>
        </w:rPr>
        <w:instrText>ADDIN CSL_CITATION {"citationItems":[{"id":"ITEM-1","itemData":{"author":[{"dropping-particle":"","family":"FAO","given":"","non-dropping-particle":"","parse-names":false,"suffix":""}],"id":"ITEM-1","issued":{"date-parts":[["2023"]]},"page":"110","title":"Definisi Ketahanan Pangan","type":"article-journal"},"uris":["http://www.mendeley.com/documents/?uuid=90ad4f10-289b-46a2-b013-585de533c4fc"]}],"mendeley":{"formattedCitation":"(FAO, 2023)","plainTextFormattedCitation":"(FAO, 2023)","previouslyFormattedCitation":"(FAO, 2023)"},"properties":{"noteIndex":0},"schema":"https://github.com/citation-style-language/schema/raw/master/csl-citation.json"}</w:instrText>
      </w:r>
      <w:r w:rsidR="006C0AD0" w:rsidRPr="009A4550">
        <w:rPr>
          <w:color w:val="202124"/>
        </w:rPr>
        <w:fldChar w:fldCharType="separate"/>
      </w:r>
      <w:r w:rsidR="006C0AD0" w:rsidRPr="009A4550">
        <w:rPr>
          <w:noProof/>
          <w:color w:val="202124"/>
        </w:rPr>
        <w:t>(FAO, 2023)</w:t>
      </w:r>
      <w:r w:rsidR="006C0AD0" w:rsidRPr="009A4550">
        <w:rPr>
          <w:color w:val="202124"/>
        </w:rPr>
        <w:fldChar w:fldCharType="end"/>
      </w:r>
      <w:r w:rsidR="006C0AD0" w:rsidRPr="009A4550">
        <w:rPr>
          <w:color w:val="202124"/>
        </w:rPr>
        <w:t>. Pada rumah tangga di kawasan gambut, ketahanan pangan dipengaruhi oleh keterbatasan sumber daya alam, kondisi lahan yang spesifik, serta kerentanan terhadap perubahan lingkungan.</w:t>
      </w:r>
      <w:r w:rsidRPr="009A4550">
        <w:rPr>
          <w:color w:val="202124"/>
        </w:rPr>
        <w:t xml:space="preserve"> </w:t>
      </w:r>
    </w:p>
    <w:p w14:paraId="33A07435" w14:textId="77777777" w:rsidR="00C6661A" w:rsidRDefault="00C6661A" w:rsidP="00C6661A">
      <w:pPr>
        <w:spacing w:after="0" w:line="240" w:lineRule="auto"/>
        <w:jc w:val="both"/>
        <w:rPr>
          <w:b/>
          <w:bCs/>
          <w:color w:val="202124"/>
        </w:rPr>
      </w:pPr>
    </w:p>
    <w:p w14:paraId="24807D9A" w14:textId="62C297DE" w:rsidR="00F27ECC" w:rsidRPr="00C6661A" w:rsidRDefault="00F27ECC" w:rsidP="00C6661A">
      <w:pPr>
        <w:spacing w:after="0" w:line="240" w:lineRule="auto"/>
        <w:jc w:val="both"/>
        <w:rPr>
          <w:b/>
          <w:bCs/>
          <w:color w:val="202124"/>
        </w:rPr>
      </w:pPr>
      <w:r w:rsidRPr="00C6661A">
        <w:rPr>
          <w:b/>
          <w:bCs/>
          <w:color w:val="202124"/>
        </w:rPr>
        <w:t>Teori Sosial Ekonomi Rumah Tangga</w:t>
      </w:r>
    </w:p>
    <w:p w14:paraId="11623186" w14:textId="6A615837" w:rsidR="00F26398" w:rsidRDefault="00F27ECC" w:rsidP="009A4550">
      <w:pPr>
        <w:spacing w:after="0" w:line="240" w:lineRule="auto"/>
        <w:jc w:val="both"/>
        <w:rPr>
          <w:color w:val="202124"/>
        </w:rPr>
      </w:pPr>
      <w:r w:rsidRPr="00F27ECC">
        <w:rPr>
          <w:color w:val="202124"/>
        </w:rPr>
        <w:t>Teori sosial ekonomi menyatakan bahwa karakteristik rumah tangga, seperti pendapatan, tingkat pendidikan, jumlah anggota keluarga, dan jenis pekerjaan, memiliki pengaruh signifikan terhadap pola konsumsi dan tingkat ketahanan pangan. Menurut teori permintaan konsumen (consumer demand theory), pendapatan rumah tangga menentukan daya beli terhadap pangan, baik dari segi kuantitas maupun kualitas</w:t>
      </w:r>
      <w:r w:rsidR="00782F55">
        <w:rPr>
          <w:color w:val="202124"/>
        </w:rPr>
        <w:t xml:space="preserve"> </w:t>
      </w:r>
      <w:r w:rsidR="00782F55">
        <w:rPr>
          <w:color w:val="202124"/>
        </w:rPr>
        <w:fldChar w:fldCharType="begin" w:fldLock="1"/>
      </w:r>
      <w:r w:rsidR="00CF3380">
        <w:rPr>
          <w:color w:val="202124"/>
        </w:rPr>
        <w:instrText>ADDIN CSL_CITATION {"citationItems":[{"id":"ITEM-1","itemData":{"DOI":"https://doi.org/10.14203/JEP.28.2.2020.103-115","author":[{"dropping-particle":"","family":"Devi","given":"Laksmi Yustika","non-dropping-particle":"","parse-names":false,"suffix":""},{"dropping-particle":"","family":"Andari","given":"Yuni","non-dropping-particle":"","parse-names":false,"suffix":""},{"dropping-particle":"","family":"Wihastuti","given":"Latri","non-dropping-particle":"","parse-names":false,"suffix":""}],"container-title":"Jurnal Ekonomi dan Pembangunan","id":"ITEM-1","issue":"2","issued":{"date-parts":[["2020"]]},"page":"103-116","title":"MODEL SOSIAL-EKONOMI DAN KETAHANAN PANGAN RUMAH TANGGA DI INDONESIA SOCIO-ECONOMIC MODEL AND HOUSEHOLDS ’ FOOD SECURITY IN INDONESIA","type":"article-journal","volume":"28"},"uris":["http://www.mendeley.com/documents/?uuid=4428bdf1-98f1-44fe-b37e-b194bfa2c941"]}],"mendeley":{"formattedCitation":"(Devi et al., 2020)","plainTextFormattedCitation":"(Devi et al., 2020)","previouslyFormattedCitation":"(Devi et al., 2020)"},"properties":{"noteIndex":0},"schema":"https://github.com/citation-style-language/schema/raw/master/csl-citation.json"}</w:instrText>
      </w:r>
      <w:r w:rsidR="00782F55">
        <w:rPr>
          <w:color w:val="202124"/>
        </w:rPr>
        <w:fldChar w:fldCharType="separate"/>
      </w:r>
      <w:r w:rsidR="00782F55" w:rsidRPr="00782F55">
        <w:rPr>
          <w:noProof/>
          <w:color w:val="202124"/>
        </w:rPr>
        <w:t>(Devi et al., 2020)</w:t>
      </w:r>
      <w:r w:rsidR="00782F55">
        <w:rPr>
          <w:color w:val="202124"/>
        </w:rPr>
        <w:fldChar w:fldCharType="end"/>
      </w:r>
      <w:r w:rsidRPr="00F27ECC">
        <w:rPr>
          <w:color w:val="202124"/>
        </w:rPr>
        <w:t>.</w:t>
      </w:r>
      <w:r>
        <w:rPr>
          <w:color w:val="202124"/>
        </w:rPr>
        <w:t xml:space="preserve"> </w:t>
      </w:r>
      <w:r w:rsidRPr="00F27ECC">
        <w:rPr>
          <w:color w:val="202124"/>
        </w:rPr>
        <w:t>Rumah tangga dengan tingkat pendapatan rendah cenderung mengalami keterbatasan akses pangan bergizi, sehingga berisiko mengalami kerentanan pangan, terutama di wilayah dengan kondisi geografis dan ekologis yang menantang seperti kawasan gambut</w:t>
      </w:r>
      <w:r>
        <w:rPr>
          <w:color w:val="202124"/>
        </w:rPr>
        <w:t>.</w:t>
      </w:r>
    </w:p>
    <w:p w14:paraId="0E654589" w14:textId="77777777" w:rsidR="00C6661A" w:rsidRDefault="00C6661A" w:rsidP="00C6661A">
      <w:pPr>
        <w:spacing w:after="0" w:line="240" w:lineRule="auto"/>
        <w:jc w:val="both"/>
        <w:rPr>
          <w:b/>
          <w:bCs/>
          <w:color w:val="202124"/>
        </w:rPr>
      </w:pPr>
    </w:p>
    <w:p w14:paraId="0E795308" w14:textId="77777777" w:rsidR="00CA4FF5" w:rsidRPr="00C6661A" w:rsidRDefault="00CA4FF5" w:rsidP="00C6661A">
      <w:pPr>
        <w:spacing w:after="0" w:line="240" w:lineRule="auto"/>
        <w:jc w:val="both"/>
        <w:rPr>
          <w:b/>
          <w:bCs/>
          <w:color w:val="202124"/>
        </w:rPr>
      </w:pPr>
      <w:r w:rsidRPr="00C6661A">
        <w:rPr>
          <w:b/>
          <w:bCs/>
          <w:color w:val="202124"/>
        </w:rPr>
        <w:lastRenderedPageBreak/>
        <w:t>Teori Konsumsi Rumah Tangga</w:t>
      </w:r>
    </w:p>
    <w:p w14:paraId="1F18C9B3" w14:textId="71D7BC05" w:rsidR="00F27ECC" w:rsidRPr="009A4550" w:rsidRDefault="00CA4FF5" w:rsidP="009A4550">
      <w:pPr>
        <w:spacing w:after="0" w:line="240" w:lineRule="auto"/>
        <w:jc w:val="both"/>
        <w:rPr>
          <w:color w:val="202124"/>
        </w:rPr>
      </w:pPr>
      <w:r w:rsidRPr="009A4550">
        <w:rPr>
          <w:color w:val="202124"/>
        </w:rPr>
        <w:t>Teori konsumsi, khususnya Teori Engel, menjelaskan bahwa proporsi pengeluaran untuk pangan akan menurun seiring dengan meningkatnya pendapatan. Rumah tangga berpendapatan rendah umumnya mengalokasikan sebagian besar pendapatannya untuk kebutuhan pangan, yang menunjukkan tingkat kerentanan pangan yang lebih tinggi</w:t>
      </w:r>
      <w:r w:rsidR="00CF3380" w:rsidRPr="009A4550">
        <w:rPr>
          <w:color w:val="202124"/>
        </w:rPr>
        <w:t xml:space="preserve"> </w:t>
      </w:r>
      <w:r w:rsidR="00CF3380" w:rsidRPr="009A4550">
        <w:rPr>
          <w:color w:val="202124"/>
        </w:rPr>
        <w:fldChar w:fldCharType="begin" w:fldLock="1"/>
      </w:r>
      <w:r w:rsidR="00CC44FD" w:rsidRPr="009A4550">
        <w:rPr>
          <w:color w:val="202124"/>
        </w:rPr>
        <w:instrText>ADDIN CSL_CITATION {"citationItems":[{"id":"ITEM-1","itemData":{"URL":"https://www.investopedia.com/terms/e/engels-law.asp","author":[{"dropping-particle":"","family":"Hayes","given":"Adam","non-dropping-particle":"","parse-names":false,"suffix":""}],"container-title":"Investopedia","id":"ITEM-1","issued":{"date-parts":[["2025"]]},"title":"Understanding Engel's Law: Impact on Food Spending and Economic Growth","type":"webpage"},"uris":["http://www.mendeley.com/documents/?uuid=ef05e888-de79-4eb1-94a8-b22532559309"]}],"mendeley":{"formattedCitation":"(Hayes, 2025)","plainTextFormattedCitation":"(Hayes, 2025)","previouslyFormattedCitation":"(Hayes, 2025)"},"properties":{"noteIndex":0},"schema":"https://github.com/citation-style-language/schema/raw/master/csl-citation.json"}</w:instrText>
      </w:r>
      <w:r w:rsidR="00CF3380" w:rsidRPr="009A4550">
        <w:rPr>
          <w:color w:val="202124"/>
        </w:rPr>
        <w:fldChar w:fldCharType="separate"/>
      </w:r>
      <w:r w:rsidR="00CF3380" w:rsidRPr="009A4550">
        <w:rPr>
          <w:noProof/>
          <w:color w:val="202124"/>
        </w:rPr>
        <w:t>(Hayes, 2025)</w:t>
      </w:r>
      <w:r w:rsidR="00CF3380" w:rsidRPr="009A4550">
        <w:rPr>
          <w:color w:val="202124"/>
        </w:rPr>
        <w:fldChar w:fldCharType="end"/>
      </w:r>
      <w:r w:rsidRPr="009A4550">
        <w:rPr>
          <w:color w:val="202124"/>
        </w:rPr>
        <w:t>. Tingkat konsumsi pangan rumah tangga mencerminkan pemanfaatan pangan, yang tidak hanya berkaitan dengan jumlah konsumsi, tetapi kualitas gizi, variasi makanan, dan pola konsumsi yang sehat.</w:t>
      </w:r>
    </w:p>
    <w:p w14:paraId="03F12146" w14:textId="77777777" w:rsidR="00C6661A" w:rsidRDefault="00C6661A" w:rsidP="00C6661A">
      <w:pPr>
        <w:spacing w:after="0" w:line="240" w:lineRule="auto"/>
        <w:jc w:val="both"/>
        <w:rPr>
          <w:b/>
          <w:bCs/>
          <w:color w:val="202124"/>
        </w:rPr>
      </w:pPr>
    </w:p>
    <w:p w14:paraId="34F4CDAD" w14:textId="77777777" w:rsidR="00CA4FF5" w:rsidRPr="00C6661A" w:rsidRDefault="00CA4FF5" w:rsidP="00C6661A">
      <w:pPr>
        <w:spacing w:after="0" w:line="240" w:lineRule="auto"/>
        <w:jc w:val="both"/>
        <w:rPr>
          <w:b/>
          <w:bCs/>
          <w:color w:val="202124"/>
        </w:rPr>
      </w:pPr>
      <w:r w:rsidRPr="00C6661A">
        <w:rPr>
          <w:b/>
          <w:bCs/>
          <w:color w:val="202124"/>
        </w:rPr>
        <w:t>Teori Lingkungan dan Ekologi</w:t>
      </w:r>
    </w:p>
    <w:p w14:paraId="722E2E11" w14:textId="1DA662C8" w:rsidR="00CA4FF5" w:rsidRPr="009A4550" w:rsidRDefault="00CA4FF5" w:rsidP="009A4550">
      <w:pPr>
        <w:spacing w:after="0" w:line="240" w:lineRule="auto"/>
        <w:jc w:val="both"/>
        <w:rPr>
          <w:color w:val="202124"/>
        </w:rPr>
      </w:pPr>
      <w:r w:rsidRPr="009A4550">
        <w:rPr>
          <w:color w:val="202124"/>
        </w:rPr>
        <w:t>Teori ekologi manusia (human ecology theory) menekankan hubungan timbal balik antara manusia dan lingkungan tempat tinggalnya. Dalam kawasan gambut, kondisi lingkungan seperti kesuburan tanah, ketersediaan lahan pertanian, risiko kebakaran, dan banjir sangat memengaruhi kemampuan rumah tangga dalam memproduksi atau memperoleh pangan</w:t>
      </w:r>
      <w:r w:rsidR="00CC44FD" w:rsidRPr="009A4550">
        <w:rPr>
          <w:color w:val="202124"/>
        </w:rPr>
        <w:t xml:space="preserve"> </w:t>
      </w:r>
      <w:r w:rsidR="00CC44FD" w:rsidRPr="009A4550">
        <w:rPr>
          <w:color w:val="202124"/>
        </w:rPr>
        <w:fldChar w:fldCharType="begin" w:fldLock="1"/>
      </w:r>
      <w:r w:rsidR="009A4550" w:rsidRPr="009A4550">
        <w:rPr>
          <w:color w:val="202124"/>
        </w:rPr>
        <w:instrText>ADDIN CSL_CITATION {"citationItems":[{"id":"ITEM-1","itemData":{"DOI":"https://doi.org/10.21776/ub.jepa.2019.003.03.5","author":[{"dropping-particle":"","family":"Yamin M","given":"","non-dropping-particle":"","parse-names":false,"suffix":""}],"container-title":"Jurnal Ekonomi Pertanian dan Agribisnis","id":"ITEM-1","issue":"3","issued":{"date-parts":[["2019"]]},"page":"495-502","title":"Kerentananketahanan pangan wilayah dan hubungannya dengan karakteristik sosial ekonomi petani dalam konsep “","type":"article-journal","volume":"3"},"uris":["http://www.mendeley.com/documents/?uuid=bf474723-bd24-42be-b69a-b8cb764bd03c"]}],"mendeley":{"formattedCitation":"(Yamin M, 2019)","plainTextFormattedCitation":"(Yamin M, 2019)","previouslyFormattedCitation":"(Yamin M, 2019)"},"properties":{"noteIndex":0},"schema":"https://github.com/citation-style-language/schema/raw/master/csl-citation.json"}</w:instrText>
      </w:r>
      <w:r w:rsidR="00CC44FD" w:rsidRPr="009A4550">
        <w:rPr>
          <w:color w:val="202124"/>
        </w:rPr>
        <w:fldChar w:fldCharType="separate"/>
      </w:r>
      <w:r w:rsidR="00CC44FD" w:rsidRPr="009A4550">
        <w:rPr>
          <w:noProof/>
          <w:color w:val="202124"/>
        </w:rPr>
        <w:t>(Yamin M, 2019)</w:t>
      </w:r>
      <w:r w:rsidR="00CC44FD" w:rsidRPr="009A4550">
        <w:rPr>
          <w:color w:val="202124"/>
        </w:rPr>
        <w:fldChar w:fldCharType="end"/>
      </w:r>
      <w:r w:rsidRPr="009A4550">
        <w:rPr>
          <w:color w:val="202124"/>
        </w:rPr>
        <w:t>. Karakteristik ekologis kawasan gambut yang rentan terhadap degradasi lingkungan dapat memperbesar risiko ketidakstabilan produksi pangan, sehingga berdampak langsung pada ketahanan pangan rumah tangga.</w:t>
      </w:r>
    </w:p>
    <w:p w14:paraId="2B13CC7A" w14:textId="77777777" w:rsidR="00C6661A" w:rsidRDefault="00C6661A" w:rsidP="00C6661A">
      <w:pPr>
        <w:spacing w:after="0" w:line="240" w:lineRule="auto"/>
        <w:jc w:val="both"/>
        <w:rPr>
          <w:b/>
          <w:bCs/>
          <w:color w:val="202124"/>
        </w:rPr>
      </w:pPr>
    </w:p>
    <w:p w14:paraId="190372CB" w14:textId="77777777" w:rsidR="00CA4FF5" w:rsidRPr="00C6661A" w:rsidRDefault="00CA4FF5" w:rsidP="00C6661A">
      <w:pPr>
        <w:spacing w:after="0" w:line="240" w:lineRule="auto"/>
        <w:jc w:val="both"/>
        <w:rPr>
          <w:b/>
          <w:bCs/>
          <w:color w:val="202124"/>
        </w:rPr>
      </w:pPr>
      <w:r w:rsidRPr="00C6661A">
        <w:rPr>
          <w:b/>
          <w:bCs/>
          <w:color w:val="202124"/>
        </w:rPr>
        <w:t>Teori Kerentanan Pangan</w:t>
      </w:r>
    </w:p>
    <w:p w14:paraId="016AF4DA" w14:textId="4150CC60" w:rsidR="0027013F" w:rsidRPr="003D5A77" w:rsidRDefault="00CA4FF5" w:rsidP="000850B4">
      <w:pPr>
        <w:spacing w:after="0" w:line="240" w:lineRule="auto"/>
        <w:jc w:val="both"/>
        <w:rPr>
          <w:color w:val="202124"/>
        </w:rPr>
      </w:pPr>
      <w:r w:rsidRPr="009A4550">
        <w:rPr>
          <w:color w:val="202124"/>
        </w:rPr>
        <w:t>Teori kerentanan pangan (food vulnerability theory) menjelaskan bahwa rumah tangga dapat mengalami kerentanan akibat kombinasi faktor ekonomi, sosial, dan lingkungan. Kerentanan pangan meningkat ketika rumah tangga memiliki keterbatasan aset, pendapatan tidak stabil, serta tinggal di wilayah dengan risiko lingkungan tinggi</w:t>
      </w:r>
      <w:r w:rsidR="009A4550" w:rsidRPr="009A4550">
        <w:rPr>
          <w:color w:val="202124"/>
        </w:rPr>
        <w:t xml:space="preserve"> </w:t>
      </w:r>
      <w:r w:rsidR="009A4550" w:rsidRPr="009A4550">
        <w:rPr>
          <w:color w:val="202124"/>
        </w:rPr>
        <w:fldChar w:fldCharType="begin" w:fldLock="1"/>
      </w:r>
      <w:r w:rsidR="009A4550" w:rsidRPr="009A4550">
        <w:rPr>
          <w:color w:val="202124"/>
        </w:rPr>
        <w:instrText>ADDIN CSL_CITATION {"citationItems":[{"id":"ITEM-1","itemData":{"DOI":"10.1186/s40008-019-0174-y","ISSN":"2193-2409","author":[{"dropping-particle":"","family":"Sileshi","given":"Million","non-dropping-particle":"","parse-names":false,"suffix":""},{"dropping-particle":"","family":"Kadigi","given":"Reuben","non-dropping-particle":"","parse-names":false,"suffix":""},{"dropping-particle":"","family":"Mutabazi","given":"Khamaldin","non-dropping-particle":"","parse-names":false,"suffix":""},{"dropping-particle":"","family":"Sieber","given":"Stefan","non-dropping-particle":"","parse-names":false,"suffix":""}],"container-title":"Journal of Economic Structures","id":"ITEM-1","issued":{"date-parts":[["2019"]]},"publisher":"Springer Berlin Heidelberg","title":"Analysis of households ’ vulnerability to food insecurity and its influencing factors in East","type":"article-journal"},"uris":["http://www.mendeley.com/documents/?uuid=294f4be6-f06f-4912-8e80-23d1c3eddf21"]}],"mendeley":{"formattedCitation":"(Sileshi et al., 2019)","plainTextFormattedCitation":"(Sileshi et al., 2019)"},"properties":{"noteIndex":0},"schema":"https://github.com/citation-style-language/schema/raw/master/csl-citation.json"}</w:instrText>
      </w:r>
      <w:r w:rsidR="009A4550" w:rsidRPr="009A4550">
        <w:rPr>
          <w:color w:val="202124"/>
        </w:rPr>
        <w:fldChar w:fldCharType="separate"/>
      </w:r>
      <w:r w:rsidR="009A4550" w:rsidRPr="009A4550">
        <w:rPr>
          <w:noProof/>
          <w:color w:val="202124"/>
        </w:rPr>
        <w:t>(Sileshi et al., 2019)</w:t>
      </w:r>
      <w:r w:rsidR="009A4550" w:rsidRPr="009A4550">
        <w:rPr>
          <w:color w:val="202124"/>
        </w:rPr>
        <w:fldChar w:fldCharType="end"/>
      </w:r>
      <w:r w:rsidRPr="009A4550">
        <w:rPr>
          <w:color w:val="202124"/>
        </w:rPr>
        <w:t>. Dalam penelitian ini, tingkat kerentanan pangan diukur melalui indikator ketersediaan, akses, dan pemanfaatan pangan, yang mencerminkan kemampuan rumah tangga dalam menghadapi tekanan ekonomi dan lingkungan di kawasan gambut.</w:t>
      </w:r>
      <w:r w:rsidR="003D5A77">
        <w:rPr>
          <w:color w:val="202124"/>
        </w:rPr>
        <w:t xml:space="preserve"> </w:t>
      </w:r>
      <w:r w:rsidR="001355CB" w:rsidRPr="001355CB">
        <w:rPr>
          <w:color w:val="202124"/>
        </w:rPr>
        <w:t>Hasil penelitian diharapkan dapat menjadi dasar ilmiah bagi pemerintah daerah dan pemangku kepentingan dalam merancang kebijakan peningkatan ketahanan pangan yang berkelanjutan dan berbasis karakteristik ekologis kawasan gambut Palangka Raya</w:t>
      </w:r>
      <w:r w:rsidR="001355CB">
        <w:t>.</w:t>
      </w:r>
    </w:p>
    <w:p w14:paraId="7F4008BD" w14:textId="77777777" w:rsidR="0027013F" w:rsidRDefault="00D83A94">
      <w:pPr>
        <w:spacing w:before="200" w:after="0"/>
        <w:jc w:val="both"/>
        <w:rPr>
          <w:b/>
          <w:sz w:val="20"/>
          <w:szCs w:val="20"/>
        </w:rPr>
      </w:pPr>
      <w:r>
        <w:rPr>
          <w:b/>
        </w:rPr>
        <w:t>METODE PENELITIAN</w:t>
      </w:r>
    </w:p>
    <w:p w14:paraId="40F53ED8" w14:textId="77777777" w:rsidR="000850B4" w:rsidRPr="00B61877" w:rsidRDefault="000850B4" w:rsidP="000850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0850B4">
        <w:rPr>
          <w:color w:val="202124"/>
        </w:rPr>
        <w:t xml:space="preserve">Penelitian ini merupakan penelitian kuantitatif dengan </w:t>
      </w:r>
      <w:r w:rsidRPr="00B61877">
        <w:rPr>
          <w:color w:val="202124"/>
        </w:rPr>
        <w:t>pendekatan deskriptif dan inferensial. Pendekatan kuantitatif digunakan karena penelitian ini berupaya mengukur dan menganalisis hubungan antarvariabel ekonomi rumah tangga, seperti pendapatan, pengeluaran pangan, harga pangan, akses pasar, dan diversifikasi pendapatan terhadap tingkat ketahanan pangan rumah tangga secara objektif dan terukur.</w:t>
      </w:r>
    </w:p>
    <w:p w14:paraId="569C27AE" w14:textId="0088E121" w:rsidR="0027013F" w:rsidRPr="00B61877" w:rsidRDefault="000850B4" w:rsidP="000850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B61877">
        <w:rPr>
          <w:color w:val="202124"/>
        </w:rPr>
        <w:t>Pendekatan deskriptif kuantitatif digunakan untuk menggambarkan kondisi ketahanan pangan rumah tangga di kawasan gambut Kota Palangka Raya berdasarkan data hasil survei. Pendekatan inferensial digunakan untuk menguji pengaruh faktor-faktor ekonomi terhadap ketahanan pangan rumah tangga melalui analisis statistik, seperti regresi linier berganda. Dengan kombinasi kedua pendekatan ini, penelitian diharapkan mampu memberikan gambaran empiris sekaligus penjelasan kausal mengenai sejauh mana variabel-variabel ekonomi berperan dalam menentukan tingkat ketahanan pangan rumah tangga di wilayah gambut yang memiliki karakteristik sosial-ekologis unik.</w:t>
      </w:r>
    </w:p>
    <w:p w14:paraId="0D871399" w14:textId="3FCF5866" w:rsidR="00CA308C" w:rsidRPr="00CA308C" w:rsidRDefault="00CA308C" w:rsidP="00CA308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B61877">
        <w:rPr>
          <w:color w:val="202124"/>
        </w:rPr>
        <w:t>Teknik analisis data dalam penelitian ini menggunakan pendekatan kuantitatif dengan metode analisis deskriptif dan inferensial. Analisis deskriptif digunakan untuk menggambarkan kondisi umum ketahanan pangan rumah tangga di kawasan gambut Kota Palangka Raya berdasarkan data sekunder mengenai pendapatan, pengeluaran pangan, harga pangan, akses pasar, dan diversifikasi pendapatan. Hasil analisis disajikan dalam bentuk tabel</w:t>
      </w:r>
      <w:r w:rsidR="00B61877" w:rsidRPr="00B61877">
        <w:rPr>
          <w:color w:val="202124"/>
        </w:rPr>
        <w:t xml:space="preserve"> </w:t>
      </w:r>
      <w:r w:rsidRPr="00B61877">
        <w:rPr>
          <w:color w:val="202124"/>
        </w:rPr>
        <w:t>untuk memberikan gambaran yang jelas mengenai karakteristik sosial-ekonomi rumah tangga di wilayah penelitian.</w:t>
      </w:r>
    </w:p>
    <w:p w14:paraId="4455F7D0" w14:textId="77777777" w:rsidR="00632CE8" w:rsidRDefault="00CA308C" w:rsidP="00CA308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CA308C">
        <w:rPr>
          <w:color w:val="202124"/>
        </w:rPr>
        <w:t xml:space="preserve">Kemudian, analisis inferensial menggunakan model regresi linier berganda untuk menguji pengaruh faktor-faktor ekonomi terhadap ketahanan pangan rumah tangga (Y). Variabel independen yang diuji meliputi pendapatan rumah tangga (X₁), pengeluaran pangan (X₂), harga pangan (X₃), akses pasar (X₄), dan diversifikasi pendapatan (X₅). </w:t>
      </w:r>
    </w:p>
    <w:p w14:paraId="6CA62A96" w14:textId="7D71EC50" w:rsidR="00632CE8" w:rsidRDefault="00632CE8" w:rsidP="00CA308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632CE8">
        <w:rPr>
          <w:color w:val="202124"/>
        </w:rPr>
        <w:t>Model regresi linier berganda secara umum ditulis</w:t>
      </w:r>
      <w:r>
        <w:rPr>
          <w:color w:val="202124"/>
        </w:rPr>
        <w:t>:</w:t>
      </w:r>
    </w:p>
    <w:p w14:paraId="1427AA8B" w14:textId="2BE9F455" w:rsidR="007C2689" w:rsidRPr="007C2689" w:rsidRDefault="007C2689" w:rsidP="005F3764">
      <w:pPr>
        <w:spacing w:after="0" w:line="240" w:lineRule="auto"/>
        <w:jc w:val="center"/>
      </w:pPr>
      <m:oMathPara>
        <m:oMath>
          <m:r>
            <w:rPr>
              <w:rFonts w:ascii="Cambria Math" w:hAnsi="Cambria Math"/>
            </w:rPr>
            <m:t>Y=</m:t>
          </m:r>
          <m:sSub>
            <m:sSubPr>
              <m:ctrlPr>
                <w:rPr>
                  <w:rFonts w:ascii="Cambria Math" w:hAnsi="Cambria Math"/>
                  <w:i/>
                </w:rPr>
              </m:ctrlPr>
            </m:sSubPr>
            <m:e>
              <m:r>
                <w:rPr>
                  <w:rFonts w:ascii="Cambria Math" w:hAnsi="Cambria Math"/>
                </w:rPr>
                <m:t>β</m:t>
              </m:r>
            </m:e>
            <m:sub>
              <m:r>
                <w:rPr>
                  <w:rFonts w:ascii="Cambria Math" w:hAnsi="Cambria Math"/>
                </w:rPr>
                <m:t>0</m:t>
              </m:r>
            </m:sub>
          </m:sSub>
          <m:r>
            <m:rPr>
              <m:sty m:val="p"/>
            </m:rPr>
            <w:rPr>
              <w:rFonts w:ascii="Cambria Math" w:eastAsia="Cambria Math" w:hAnsi="Cambria Math"/>
              <w:position w:val="2"/>
            </w:rPr>
            <m:t>+</m:t>
          </m:r>
          <m:sSub>
            <m:sSubPr>
              <m:ctrlPr>
                <w:rPr>
                  <w:rFonts w:ascii="Cambria Math" w:hAnsi="Cambria Math"/>
                  <w:i/>
                </w:rPr>
              </m:ctrlPr>
            </m:sSubPr>
            <m:e>
              <m:r>
                <w:rPr>
                  <w:rFonts w:ascii="Cambria Math" w:hAnsi="Cambria Math"/>
                </w:rPr>
                <m:t>β</m:t>
              </m:r>
            </m:e>
            <m:sub>
              <m:r>
                <w:rPr>
                  <w:rFonts w:ascii="Cambria Math" w:hAnsi="Cambria Math"/>
                </w:rPr>
                <m:t>1</m:t>
              </m:r>
            </m:sub>
          </m:sSub>
          <m:r>
            <m:rPr>
              <m:sty m:val="p"/>
            </m:rPr>
            <w:rPr>
              <w:rFonts w:ascii="Cambria Math" w:hAnsi="Cambria Math"/>
              <w:spacing w:val="-1"/>
              <w:position w:val="2"/>
            </w:rPr>
            <m:t xml:space="preserve"> </m:t>
          </m:r>
          <m:sSub>
            <m:sSubPr>
              <m:ctrlPr>
                <w:rPr>
                  <w:rFonts w:ascii="Cambria Math" w:hAnsi="Cambria Math"/>
                  <w:spacing w:val="-1"/>
                  <w:position w:val="2"/>
                </w:rPr>
              </m:ctrlPr>
            </m:sSubPr>
            <m:e>
              <m:r>
                <w:rPr>
                  <w:rFonts w:ascii="Cambria Math" w:hAnsi="Cambria Math"/>
                  <w:spacing w:val="-1"/>
                  <w:position w:val="2"/>
                </w:rPr>
                <m:t>X</m:t>
              </m:r>
            </m:e>
            <m:sub>
              <m:r>
                <w:rPr>
                  <w:rFonts w:ascii="Cambria Math" w:hAnsi="Cambria Math"/>
                  <w:spacing w:val="-1"/>
                  <w:position w:val="2"/>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m:t>
              </m:r>
            </m:sub>
          </m:sSub>
          <m:sSub>
            <m:sSubPr>
              <m:ctrlPr>
                <w:rPr>
                  <w:rFonts w:ascii="Cambria Math" w:hAnsi="Cambria Math"/>
                  <w:i/>
                </w:rPr>
              </m:ctrlPr>
            </m:sSubPr>
            <m:e>
              <m:r>
                <w:rPr>
                  <w:rFonts w:ascii="Cambria Math" w:hAnsi="Cambria Math"/>
                </w:rPr>
                <m:t>X</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m:t>
              </m:r>
            </m:sub>
          </m:sSub>
          <m:sSub>
            <m:sSubPr>
              <m:ctrlPr>
                <w:rPr>
                  <w:rFonts w:ascii="Cambria Math" w:hAnsi="Cambria Math"/>
                  <w:i/>
                </w:rPr>
              </m:ctrlPr>
            </m:sSubPr>
            <m:e>
              <m:r>
                <w:rPr>
                  <w:rFonts w:ascii="Cambria Math" w:hAnsi="Cambria Math"/>
                </w:rPr>
                <m:t>X</m:t>
              </m:r>
            </m:e>
            <m:sub>
              <m:r>
                <w:rPr>
                  <w:rFonts w:ascii="Cambria Math" w:hAnsi="Cambria Math"/>
                </w:rPr>
                <m:t>5</m:t>
              </m:r>
            </m:sub>
          </m:sSub>
          <m:r>
            <w:rPr>
              <w:rFonts w:ascii="Cambria Math" w:hAnsi="Cambria Math"/>
            </w:rPr>
            <m:t>+ε</m:t>
          </m:r>
        </m:oMath>
      </m:oMathPara>
    </w:p>
    <w:p w14:paraId="38EF1757" w14:textId="21C05AAA" w:rsidR="008C5ED1" w:rsidRPr="008C5ED1" w:rsidRDefault="008C5ED1" w:rsidP="008C5ED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8C5ED1">
        <w:rPr>
          <w:color w:val="202124"/>
        </w:rPr>
        <w:t>Dimana:</w:t>
      </w:r>
    </w:p>
    <w:p w14:paraId="29A9A715" w14:textId="0D60E726" w:rsidR="008C5ED1" w:rsidRDefault="008C5ED1" w:rsidP="008C5ED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m:oMath>
        <m:r>
          <w:rPr>
            <w:rFonts w:ascii="Cambria Math" w:hAnsi="Cambria Math"/>
          </w:rPr>
          <m:t>Y</m:t>
        </m:r>
      </m:oMath>
      <w:r w:rsidRPr="008C5ED1">
        <w:rPr>
          <w:color w:val="202124"/>
        </w:rPr>
        <w:t xml:space="preserve"> = Ketahanan Pangan Rumah Tangga</w:t>
      </w:r>
    </w:p>
    <w:p w14:paraId="496CEFFE" w14:textId="0586AD7D" w:rsidR="008C5ED1" w:rsidRDefault="00000000" w:rsidP="008C5ED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8C5ED1" w:rsidRPr="008C5ED1">
        <w:rPr>
          <w:color w:val="202124"/>
        </w:rPr>
        <w:t xml:space="preserve"> = Konstanta</w:t>
      </w:r>
    </w:p>
    <w:p w14:paraId="7B08B828" w14:textId="5C5254CE" w:rsidR="008C5ED1" w:rsidRPr="008C5ED1" w:rsidRDefault="00000000" w:rsidP="008C5ED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m:oMath>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m:t>
            </m:r>
          </m:sub>
        </m:sSub>
      </m:oMath>
      <w:r w:rsidR="008C5ED1" w:rsidRPr="008C5ED1">
        <w:rPr>
          <w:color w:val="202124"/>
        </w:rPr>
        <w:t xml:space="preserve"> = Koefisien regresi</w:t>
      </w:r>
    </w:p>
    <w:p w14:paraId="795E8A5F" w14:textId="77777777" w:rsidR="008C5ED1" w:rsidRPr="008C5ED1" w:rsidRDefault="008C5ED1" w:rsidP="008C5ED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p>
    <w:p w14:paraId="5CDD8B12" w14:textId="116F5418" w:rsidR="008C5ED1" w:rsidRPr="008C5ED1" w:rsidRDefault="00000000" w:rsidP="008C5ED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m:oMath>
        <m:sSub>
          <m:sSubPr>
            <m:ctrlPr>
              <w:rPr>
                <w:rFonts w:ascii="Cambria Math" w:hAnsi="Cambria Math"/>
                <w:spacing w:val="-1"/>
                <w:position w:val="2"/>
              </w:rPr>
            </m:ctrlPr>
          </m:sSubPr>
          <m:e>
            <m:r>
              <w:rPr>
                <w:rFonts w:ascii="Cambria Math" w:hAnsi="Cambria Math"/>
                <w:spacing w:val="-1"/>
                <w:position w:val="2"/>
              </w:rPr>
              <m:t>X</m:t>
            </m:r>
          </m:e>
          <m:sub>
            <m:r>
              <w:rPr>
                <w:rFonts w:ascii="Cambria Math" w:hAnsi="Cambria Math"/>
                <w:spacing w:val="-1"/>
                <w:position w:val="2"/>
              </w:rPr>
              <m:t>1</m:t>
            </m:r>
          </m:sub>
        </m:sSub>
      </m:oMath>
      <w:r w:rsidR="008C5ED1" w:rsidRPr="008C5ED1">
        <w:rPr>
          <w:color w:val="202124"/>
        </w:rPr>
        <w:t>= Pendapatan Rumah Tangga</w:t>
      </w:r>
    </w:p>
    <w:p w14:paraId="6D98D438" w14:textId="3AEF61DD" w:rsidR="008C5ED1" w:rsidRPr="008C5ED1" w:rsidRDefault="00000000" w:rsidP="008C5ED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8C5ED1" w:rsidRPr="008C5ED1">
        <w:rPr>
          <w:color w:val="202124"/>
        </w:rPr>
        <w:t>= Pengeluaran Pangan</w:t>
      </w:r>
    </w:p>
    <w:p w14:paraId="2803057E" w14:textId="730BCAA4" w:rsidR="008C5ED1" w:rsidRPr="008C5ED1" w:rsidRDefault="00000000" w:rsidP="008C5ED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008C5ED1" w:rsidRPr="008C5ED1">
        <w:rPr>
          <w:color w:val="202124"/>
        </w:rPr>
        <w:t xml:space="preserve"> = Harga Pangan</w:t>
      </w:r>
    </w:p>
    <w:p w14:paraId="0A32A395" w14:textId="2C7C2CEF" w:rsidR="008C5ED1" w:rsidRPr="008C5ED1" w:rsidRDefault="00000000" w:rsidP="008C5ED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m:oMath>
        <m:sSub>
          <m:sSubPr>
            <m:ctrlPr>
              <w:rPr>
                <w:rFonts w:ascii="Cambria Math" w:hAnsi="Cambria Math"/>
                <w:i/>
              </w:rPr>
            </m:ctrlPr>
          </m:sSubPr>
          <m:e>
            <m:r>
              <w:rPr>
                <w:rFonts w:ascii="Cambria Math" w:hAnsi="Cambria Math"/>
              </w:rPr>
              <m:t>X</m:t>
            </m:r>
          </m:e>
          <m:sub>
            <m:r>
              <w:rPr>
                <w:rFonts w:ascii="Cambria Math" w:hAnsi="Cambria Math"/>
              </w:rPr>
              <m:t>4</m:t>
            </m:r>
          </m:sub>
        </m:sSub>
      </m:oMath>
      <w:r w:rsidR="008C5ED1" w:rsidRPr="008C5ED1">
        <w:rPr>
          <w:color w:val="202124"/>
        </w:rPr>
        <w:t xml:space="preserve"> = Akses Pasar</w:t>
      </w:r>
    </w:p>
    <w:p w14:paraId="0D037B22" w14:textId="4530A68F" w:rsidR="008C5ED1" w:rsidRPr="008C5ED1" w:rsidRDefault="00000000" w:rsidP="008C5ED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m:oMath>
        <m:sSub>
          <m:sSubPr>
            <m:ctrlPr>
              <w:rPr>
                <w:rFonts w:ascii="Cambria Math" w:hAnsi="Cambria Math"/>
                <w:i/>
              </w:rPr>
            </m:ctrlPr>
          </m:sSubPr>
          <m:e>
            <m:r>
              <w:rPr>
                <w:rFonts w:ascii="Cambria Math" w:hAnsi="Cambria Math"/>
              </w:rPr>
              <m:t>X</m:t>
            </m:r>
          </m:e>
          <m:sub>
            <m:r>
              <w:rPr>
                <w:rFonts w:ascii="Cambria Math" w:hAnsi="Cambria Math"/>
              </w:rPr>
              <m:t>5</m:t>
            </m:r>
          </m:sub>
        </m:sSub>
      </m:oMath>
      <w:r w:rsidR="008C5ED1" w:rsidRPr="008C5ED1">
        <w:rPr>
          <w:color w:val="202124"/>
        </w:rPr>
        <w:t xml:space="preserve"> = Diversifikasi Pendapatan</w:t>
      </w:r>
    </w:p>
    <w:p w14:paraId="3C3CADA7" w14:textId="08860351" w:rsidR="008C5ED1" w:rsidRDefault="008C5ED1" w:rsidP="00CA308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m:oMath>
        <m:r>
          <w:rPr>
            <w:rFonts w:ascii="Cambria Math" w:hAnsi="Cambria Math"/>
          </w:rPr>
          <m:t>ε</m:t>
        </m:r>
      </m:oMath>
      <w:r w:rsidRPr="008C5ED1">
        <w:rPr>
          <w:color w:val="202124"/>
        </w:rPr>
        <w:t xml:space="preserve"> = Error term (variabel gangguan)</w:t>
      </w:r>
    </w:p>
    <w:p w14:paraId="5D2DA098" w14:textId="7954909C" w:rsidR="00CA308C" w:rsidRDefault="00CA308C" w:rsidP="00CA308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CA308C">
        <w:rPr>
          <w:color w:val="202124"/>
        </w:rPr>
        <w:t>Pengolahan data dilakukan dengan bantuan perangkat lunak statistik SPSS-25, disertai uji asumsi klasik (normalitas, heteroskedastisitas, dan multikolinearitas), kemudian dilanjutkan dengan menggunakan uji hipotesis uji F (simultan) dan Uji T (parsial). Hasil analisis kemudian diinterpretasikan secara empiris sebagai dasar penyusunan rekomendasi kebijakan peningkatan ketahanan pangan rumah tangga di kawasan gambut Kota Palangka Raya.</w:t>
      </w:r>
    </w:p>
    <w:p w14:paraId="3FAB2EAE" w14:textId="77777777" w:rsidR="0027013F" w:rsidRDefault="00D83A94">
      <w:pPr>
        <w:spacing w:before="200" w:after="0"/>
        <w:jc w:val="both"/>
        <w:rPr>
          <w:b/>
        </w:rPr>
      </w:pPr>
      <w:r>
        <w:rPr>
          <w:b/>
        </w:rPr>
        <w:t>HASIL DAN PEMBAHASAN</w:t>
      </w:r>
    </w:p>
    <w:p w14:paraId="1695C4CF" w14:textId="40BC829A" w:rsidR="00DA1D7F" w:rsidRDefault="00D4791D" w:rsidP="00EB3DCB">
      <w:pPr>
        <w:spacing w:after="0" w:line="240" w:lineRule="auto"/>
        <w:jc w:val="both"/>
        <w:rPr>
          <w:b/>
          <w:bCs/>
          <w:color w:val="000000" w:themeColor="text1"/>
          <w:lang w:val="id-ID"/>
        </w:rPr>
      </w:pPr>
      <w:r w:rsidRPr="00D4791D">
        <w:rPr>
          <w:b/>
          <w:bCs/>
          <w:color w:val="000000" w:themeColor="text1"/>
          <w:lang w:val="id-ID"/>
        </w:rPr>
        <w:t>Analisis Deskriptif</w:t>
      </w:r>
    </w:p>
    <w:p w14:paraId="33A794EB" w14:textId="721C04B1" w:rsidR="00D4791D" w:rsidRPr="00DF71FF" w:rsidRDefault="00DF71FF" w:rsidP="00EB3DCB">
      <w:pPr>
        <w:spacing w:after="0" w:line="240" w:lineRule="auto"/>
        <w:jc w:val="both"/>
        <w:rPr>
          <w:color w:val="000000" w:themeColor="text1"/>
          <w:lang w:val="id-ID"/>
        </w:rPr>
      </w:pPr>
      <w:r w:rsidRPr="00DF71FF">
        <w:rPr>
          <w:color w:val="000000" w:themeColor="text1"/>
          <w:lang w:val="id-ID"/>
        </w:rPr>
        <w:t xml:space="preserve">Analisis deskriptif digunakan untuk menggambarkan dan menjelaskan karakteristik data penelitian secara sistematis tanpa melakukan pengujian hipotesis. </w:t>
      </w:r>
      <w:r>
        <w:rPr>
          <w:color w:val="000000" w:themeColor="text1"/>
          <w:lang w:val="id-ID"/>
        </w:rPr>
        <w:t xml:space="preserve">Pada </w:t>
      </w:r>
      <w:r w:rsidRPr="00DF71FF">
        <w:rPr>
          <w:color w:val="000000" w:themeColor="text1"/>
          <w:lang w:val="id-ID"/>
        </w:rPr>
        <w:t>penelitian ini, analisis deskriptif digunakan untuk memberikan gambaran umum mengenai kondisi ketahanan pangan rumah tangga di kawasan gambut Kota Palangka Raya berdasarkan variabel-variabel ekonomi yang diteliti.</w:t>
      </w:r>
    </w:p>
    <w:p w14:paraId="79124F96" w14:textId="6AA03D47" w:rsidR="00D4791D" w:rsidRPr="00EB3DCB" w:rsidRDefault="00D4791D" w:rsidP="00D4791D">
      <w:pPr>
        <w:spacing w:after="0" w:line="240" w:lineRule="auto"/>
        <w:jc w:val="both"/>
        <w:rPr>
          <w:b/>
          <w:bCs/>
          <w:color w:val="000000" w:themeColor="text1"/>
          <w:lang w:val="id-ID"/>
        </w:rPr>
      </w:pPr>
      <w:r w:rsidRPr="00EB3DCB">
        <w:rPr>
          <w:b/>
          <w:bCs/>
          <w:color w:val="000000" w:themeColor="text1"/>
          <w:lang w:val="id-ID"/>
        </w:rPr>
        <w:t xml:space="preserve">Tabel 1. </w:t>
      </w:r>
      <w:r w:rsidR="00DF71FF" w:rsidRPr="00DF71FF">
        <w:rPr>
          <w:b/>
          <w:bCs/>
          <w:color w:val="000000" w:themeColor="text1"/>
          <w:lang w:val="id-ID"/>
        </w:rPr>
        <w:t>Analisis Deskriptif</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405"/>
        <w:gridCol w:w="615"/>
        <w:gridCol w:w="1510"/>
        <w:gridCol w:w="1510"/>
        <w:gridCol w:w="1511"/>
        <w:gridCol w:w="1511"/>
      </w:tblGrid>
      <w:tr w:rsidR="00F86C81" w14:paraId="1085CEEE" w14:textId="77777777" w:rsidTr="00EB4B92">
        <w:tc>
          <w:tcPr>
            <w:tcW w:w="2405" w:type="dxa"/>
          </w:tcPr>
          <w:p w14:paraId="4980A168" w14:textId="3775162F" w:rsidR="00F86C81" w:rsidRDefault="00F86C81" w:rsidP="00F86C81">
            <w:pPr>
              <w:spacing w:after="0" w:line="240" w:lineRule="auto"/>
              <w:jc w:val="center"/>
              <w:rPr>
                <w:color w:val="000000" w:themeColor="text1"/>
              </w:rPr>
            </w:pPr>
            <w:r w:rsidRPr="00F86C81">
              <w:rPr>
                <w:color w:val="000000" w:themeColor="text1"/>
              </w:rPr>
              <w:t>Variabel</w:t>
            </w:r>
          </w:p>
        </w:tc>
        <w:tc>
          <w:tcPr>
            <w:tcW w:w="615" w:type="dxa"/>
          </w:tcPr>
          <w:p w14:paraId="66BCF3F6" w14:textId="78A91110" w:rsidR="00F86C81" w:rsidRDefault="00F86C81" w:rsidP="00F86C81">
            <w:pPr>
              <w:spacing w:after="0" w:line="240" w:lineRule="auto"/>
              <w:jc w:val="center"/>
              <w:rPr>
                <w:color w:val="000000" w:themeColor="text1"/>
              </w:rPr>
            </w:pPr>
            <w:r>
              <w:rPr>
                <w:color w:val="000000" w:themeColor="text1"/>
              </w:rPr>
              <w:t>N</w:t>
            </w:r>
          </w:p>
        </w:tc>
        <w:tc>
          <w:tcPr>
            <w:tcW w:w="1510" w:type="dxa"/>
          </w:tcPr>
          <w:p w14:paraId="79E814C2" w14:textId="558C0BAF" w:rsidR="00F86C81" w:rsidRDefault="00F86C81" w:rsidP="00F86C81">
            <w:pPr>
              <w:spacing w:after="0" w:line="240" w:lineRule="auto"/>
              <w:jc w:val="center"/>
              <w:rPr>
                <w:color w:val="000000" w:themeColor="text1"/>
              </w:rPr>
            </w:pPr>
            <w:r w:rsidRPr="00F86C81">
              <w:rPr>
                <w:color w:val="000000" w:themeColor="text1"/>
              </w:rPr>
              <w:t>Minimum</w:t>
            </w:r>
          </w:p>
        </w:tc>
        <w:tc>
          <w:tcPr>
            <w:tcW w:w="1510" w:type="dxa"/>
          </w:tcPr>
          <w:p w14:paraId="577141FF" w14:textId="1C41C8C0" w:rsidR="00F86C81" w:rsidRDefault="00F86C81" w:rsidP="00F86C81">
            <w:pPr>
              <w:spacing w:after="0" w:line="240" w:lineRule="auto"/>
              <w:jc w:val="center"/>
              <w:rPr>
                <w:color w:val="000000" w:themeColor="text1"/>
              </w:rPr>
            </w:pPr>
            <w:r w:rsidRPr="00F86C81">
              <w:rPr>
                <w:color w:val="000000" w:themeColor="text1"/>
              </w:rPr>
              <w:t>Maximum</w:t>
            </w:r>
          </w:p>
        </w:tc>
        <w:tc>
          <w:tcPr>
            <w:tcW w:w="1511" w:type="dxa"/>
          </w:tcPr>
          <w:p w14:paraId="2EFDC6A7" w14:textId="1B5DC440" w:rsidR="00F86C81" w:rsidRDefault="00F86C81" w:rsidP="00F86C81">
            <w:pPr>
              <w:spacing w:after="0" w:line="240" w:lineRule="auto"/>
              <w:jc w:val="center"/>
              <w:rPr>
                <w:color w:val="000000" w:themeColor="text1"/>
              </w:rPr>
            </w:pPr>
            <w:r w:rsidRPr="00F86C81">
              <w:rPr>
                <w:color w:val="000000" w:themeColor="text1"/>
              </w:rPr>
              <w:t>Mean</w:t>
            </w:r>
          </w:p>
        </w:tc>
        <w:tc>
          <w:tcPr>
            <w:tcW w:w="1511" w:type="dxa"/>
          </w:tcPr>
          <w:p w14:paraId="58BAC78A" w14:textId="63F0949A" w:rsidR="00F86C81" w:rsidRDefault="00F86C81" w:rsidP="00F86C81">
            <w:pPr>
              <w:spacing w:after="0" w:line="240" w:lineRule="auto"/>
              <w:jc w:val="center"/>
              <w:rPr>
                <w:color w:val="000000" w:themeColor="text1"/>
              </w:rPr>
            </w:pPr>
            <w:r w:rsidRPr="00F86C81">
              <w:rPr>
                <w:color w:val="000000" w:themeColor="text1"/>
              </w:rPr>
              <w:t>Std. Deviation</w:t>
            </w:r>
          </w:p>
        </w:tc>
      </w:tr>
      <w:tr w:rsidR="00F86C81" w14:paraId="6A88787D" w14:textId="77777777" w:rsidTr="00EB4B92">
        <w:tc>
          <w:tcPr>
            <w:tcW w:w="2405" w:type="dxa"/>
          </w:tcPr>
          <w:p w14:paraId="25C7A8D7" w14:textId="143A9115" w:rsidR="00F86C81" w:rsidRDefault="00F86C81" w:rsidP="00012A80">
            <w:pPr>
              <w:spacing w:after="0" w:line="240" w:lineRule="auto"/>
              <w:rPr>
                <w:color w:val="000000" w:themeColor="text1"/>
              </w:rPr>
            </w:pPr>
            <w:r w:rsidRPr="00F86C81">
              <w:rPr>
                <w:color w:val="000000" w:themeColor="text1"/>
              </w:rPr>
              <w:t>Ketahanan Pangan (Kg)</w:t>
            </w:r>
          </w:p>
        </w:tc>
        <w:tc>
          <w:tcPr>
            <w:tcW w:w="615" w:type="dxa"/>
          </w:tcPr>
          <w:p w14:paraId="77A50303" w14:textId="15B7CECC" w:rsidR="00F86C81" w:rsidRDefault="00F86C81" w:rsidP="00012A80">
            <w:pPr>
              <w:spacing w:after="0" w:line="240" w:lineRule="auto"/>
              <w:jc w:val="center"/>
              <w:rPr>
                <w:color w:val="000000" w:themeColor="text1"/>
              </w:rPr>
            </w:pPr>
            <w:r>
              <w:rPr>
                <w:color w:val="000000" w:themeColor="text1"/>
              </w:rPr>
              <w:t>10</w:t>
            </w:r>
          </w:p>
        </w:tc>
        <w:tc>
          <w:tcPr>
            <w:tcW w:w="1510" w:type="dxa"/>
          </w:tcPr>
          <w:p w14:paraId="1071922A" w14:textId="496C536C" w:rsidR="00F86C81" w:rsidRDefault="00F86C81" w:rsidP="00012A80">
            <w:pPr>
              <w:spacing w:after="0" w:line="240" w:lineRule="auto"/>
              <w:jc w:val="center"/>
              <w:rPr>
                <w:color w:val="000000" w:themeColor="text1"/>
              </w:rPr>
            </w:pPr>
            <w:r w:rsidRPr="00F86C81">
              <w:rPr>
                <w:color w:val="000000" w:themeColor="text1"/>
              </w:rPr>
              <w:t>31,38</w:t>
            </w:r>
          </w:p>
        </w:tc>
        <w:tc>
          <w:tcPr>
            <w:tcW w:w="1510" w:type="dxa"/>
          </w:tcPr>
          <w:p w14:paraId="70010356" w14:textId="5EBE3A91" w:rsidR="00F86C81" w:rsidRDefault="00F86C81" w:rsidP="00012A80">
            <w:pPr>
              <w:spacing w:after="0" w:line="240" w:lineRule="auto"/>
              <w:jc w:val="center"/>
              <w:rPr>
                <w:color w:val="000000" w:themeColor="text1"/>
              </w:rPr>
            </w:pPr>
            <w:r w:rsidRPr="00F86C81">
              <w:rPr>
                <w:color w:val="000000" w:themeColor="text1"/>
              </w:rPr>
              <w:t>35,61</w:t>
            </w:r>
          </w:p>
        </w:tc>
        <w:tc>
          <w:tcPr>
            <w:tcW w:w="1511" w:type="dxa"/>
          </w:tcPr>
          <w:p w14:paraId="71E9EF47" w14:textId="597DC9BF" w:rsidR="00F86C81" w:rsidRDefault="00F86C81" w:rsidP="00012A80">
            <w:pPr>
              <w:spacing w:after="0" w:line="240" w:lineRule="auto"/>
              <w:jc w:val="center"/>
              <w:rPr>
                <w:color w:val="000000" w:themeColor="text1"/>
              </w:rPr>
            </w:pPr>
            <w:r w:rsidRPr="00F86C81">
              <w:rPr>
                <w:color w:val="000000" w:themeColor="text1"/>
              </w:rPr>
              <w:t>33,43</w:t>
            </w:r>
          </w:p>
        </w:tc>
        <w:tc>
          <w:tcPr>
            <w:tcW w:w="1511" w:type="dxa"/>
          </w:tcPr>
          <w:p w14:paraId="368D6C82" w14:textId="06F10302" w:rsidR="00F86C81" w:rsidRDefault="00F86C81" w:rsidP="00012A80">
            <w:pPr>
              <w:spacing w:after="0" w:line="240" w:lineRule="auto"/>
              <w:jc w:val="center"/>
              <w:rPr>
                <w:color w:val="000000" w:themeColor="text1"/>
              </w:rPr>
            </w:pPr>
            <w:r w:rsidRPr="00F86C81">
              <w:rPr>
                <w:color w:val="000000" w:themeColor="text1"/>
              </w:rPr>
              <w:t>1,25</w:t>
            </w:r>
          </w:p>
        </w:tc>
      </w:tr>
      <w:tr w:rsidR="00012A80" w14:paraId="1FCECDBC" w14:textId="77777777" w:rsidTr="00EB4B92">
        <w:tc>
          <w:tcPr>
            <w:tcW w:w="2405" w:type="dxa"/>
          </w:tcPr>
          <w:p w14:paraId="5760F37B" w14:textId="6EBD11A9" w:rsidR="00012A80" w:rsidRDefault="00012A80" w:rsidP="00012A80">
            <w:pPr>
              <w:spacing w:after="0" w:line="240" w:lineRule="auto"/>
              <w:rPr>
                <w:color w:val="000000" w:themeColor="text1"/>
              </w:rPr>
            </w:pPr>
            <w:r w:rsidRPr="00012A80">
              <w:rPr>
                <w:color w:val="000000" w:themeColor="text1"/>
              </w:rPr>
              <w:t>Pendapatan Rumah Tangga (Rp)</w:t>
            </w:r>
          </w:p>
        </w:tc>
        <w:tc>
          <w:tcPr>
            <w:tcW w:w="615" w:type="dxa"/>
          </w:tcPr>
          <w:p w14:paraId="3D698961" w14:textId="717006A7" w:rsidR="00012A80" w:rsidRDefault="00012A80" w:rsidP="00012A80">
            <w:pPr>
              <w:spacing w:after="0" w:line="240" w:lineRule="auto"/>
              <w:jc w:val="center"/>
              <w:rPr>
                <w:color w:val="000000" w:themeColor="text1"/>
              </w:rPr>
            </w:pPr>
            <w:r w:rsidRPr="00BA5FB5">
              <w:rPr>
                <w:color w:val="000000" w:themeColor="text1"/>
              </w:rPr>
              <w:t>10</w:t>
            </w:r>
          </w:p>
        </w:tc>
        <w:tc>
          <w:tcPr>
            <w:tcW w:w="1510" w:type="dxa"/>
          </w:tcPr>
          <w:p w14:paraId="14C823F6" w14:textId="58338AA9" w:rsidR="00012A80" w:rsidRDefault="00012A80" w:rsidP="00012A80">
            <w:pPr>
              <w:spacing w:after="0" w:line="240" w:lineRule="auto"/>
              <w:jc w:val="center"/>
              <w:rPr>
                <w:color w:val="000000" w:themeColor="text1"/>
              </w:rPr>
            </w:pPr>
            <w:r w:rsidRPr="00012A80">
              <w:rPr>
                <w:color w:val="000000" w:themeColor="text1"/>
              </w:rPr>
              <w:t>11.049.432</w:t>
            </w:r>
          </w:p>
        </w:tc>
        <w:tc>
          <w:tcPr>
            <w:tcW w:w="1510" w:type="dxa"/>
          </w:tcPr>
          <w:p w14:paraId="5D18400D" w14:textId="4DE9BF93" w:rsidR="00012A80" w:rsidRDefault="00012A80" w:rsidP="00012A80">
            <w:pPr>
              <w:spacing w:after="0" w:line="240" w:lineRule="auto"/>
              <w:jc w:val="center"/>
              <w:rPr>
                <w:color w:val="000000" w:themeColor="text1"/>
              </w:rPr>
            </w:pPr>
            <w:r w:rsidRPr="00012A80">
              <w:rPr>
                <w:color w:val="000000" w:themeColor="text1"/>
              </w:rPr>
              <w:t>23.160.084</w:t>
            </w:r>
          </w:p>
        </w:tc>
        <w:tc>
          <w:tcPr>
            <w:tcW w:w="1511" w:type="dxa"/>
          </w:tcPr>
          <w:p w14:paraId="065E0898" w14:textId="640C1D7E" w:rsidR="00012A80" w:rsidRDefault="00012A80" w:rsidP="00012A80">
            <w:pPr>
              <w:spacing w:after="0" w:line="240" w:lineRule="auto"/>
              <w:jc w:val="center"/>
              <w:rPr>
                <w:color w:val="000000" w:themeColor="text1"/>
              </w:rPr>
            </w:pPr>
            <w:r w:rsidRPr="00012A80">
              <w:rPr>
                <w:color w:val="000000" w:themeColor="text1"/>
              </w:rPr>
              <w:t>15.887.130</w:t>
            </w:r>
          </w:p>
        </w:tc>
        <w:tc>
          <w:tcPr>
            <w:tcW w:w="1511" w:type="dxa"/>
          </w:tcPr>
          <w:p w14:paraId="607C68D6" w14:textId="77556C6B" w:rsidR="00012A80" w:rsidRDefault="00012A80" w:rsidP="00012A80">
            <w:pPr>
              <w:spacing w:after="0" w:line="240" w:lineRule="auto"/>
              <w:jc w:val="center"/>
              <w:rPr>
                <w:color w:val="000000" w:themeColor="text1"/>
              </w:rPr>
            </w:pPr>
            <w:r w:rsidRPr="00012A80">
              <w:rPr>
                <w:color w:val="000000" w:themeColor="text1"/>
              </w:rPr>
              <w:t>3.381.772</w:t>
            </w:r>
          </w:p>
        </w:tc>
      </w:tr>
      <w:tr w:rsidR="00012A80" w14:paraId="0CFE2F95" w14:textId="77777777" w:rsidTr="00EB4B92">
        <w:tc>
          <w:tcPr>
            <w:tcW w:w="2405" w:type="dxa"/>
          </w:tcPr>
          <w:p w14:paraId="1660AF26" w14:textId="6467DF47" w:rsidR="00012A80" w:rsidRDefault="00012A80" w:rsidP="00012A80">
            <w:pPr>
              <w:spacing w:after="0" w:line="240" w:lineRule="auto"/>
              <w:jc w:val="both"/>
              <w:rPr>
                <w:color w:val="000000" w:themeColor="text1"/>
              </w:rPr>
            </w:pPr>
            <w:r w:rsidRPr="00012A80">
              <w:rPr>
                <w:color w:val="000000" w:themeColor="text1"/>
              </w:rPr>
              <w:t>Pengeluaran Pangan (Rp)</w:t>
            </w:r>
          </w:p>
        </w:tc>
        <w:tc>
          <w:tcPr>
            <w:tcW w:w="615" w:type="dxa"/>
          </w:tcPr>
          <w:p w14:paraId="162BF357" w14:textId="71BC39B3" w:rsidR="00012A80" w:rsidRDefault="00012A80" w:rsidP="00012A80">
            <w:pPr>
              <w:spacing w:after="0" w:line="240" w:lineRule="auto"/>
              <w:jc w:val="center"/>
              <w:rPr>
                <w:color w:val="000000" w:themeColor="text1"/>
              </w:rPr>
            </w:pPr>
            <w:r w:rsidRPr="00BA5FB5">
              <w:rPr>
                <w:color w:val="000000" w:themeColor="text1"/>
              </w:rPr>
              <w:t>10</w:t>
            </w:r>
          </w:p>
        </w:tc>
        <w:tc>
          <w:tcPr>
            <w:tcW w:w="1510" w:type="dxa"/>
          </w:tcPr>
          <w:p w14:paraId="2F22FC5D" w14:textId="3BD544D9" w:rsidR="00012A80" w:rsidRDefault="00012A80" w:rsidP="00012A80">
            <w:pPr>
              <w:spacing w:after="0" w:line="240" w:lineRule="auto"/>
              <w:jc w:val="center"/>
              <w:rPr>
                <w:color w:val="000000" w:themeColor="text1"/>
              </w:rPr>
            </w:pPr>
            <w:r w:rsidRPr="00012A80">
              <w:rPr>
                <w:color w:val="000000" w:themeColor="text1"/>
              </w:rPr>
              <w:t>5.938.296</w:t>
            </w:r>
          </w:p>
        </w:tc>
        <w:tc>
          <w:tcPr>
            <w:tcW w:w="1510" w:type="dxa"/>
          </w:tcPr>
          <w:p w14:paraId="6C38589E" w14:textId="2FFF99B8" w:rsidR="00012A80" w:rsidRDefault="00012A80" w:rsidP="00012A80">
            <w:pPr>
              <w:spacing w:after="0" w:line="240" w:lineRule="auto"/>
              <w:jc w:val="center"/>
              <w:rPr>
                <w:color w:val="000000" w:themeColor="text1"/>
              </w:rPr>
            </w:pPr>
            <w:r w:rsidRPr="00012A80">
              <w:rPr>
                <w:color w:val="000000" w:themeColor="text1"/>
              </w:rPr>
              <w:t>10.046.268</w:t>
            </w:r>
          </w:p>
        </w:tc>
        <w:tc>
          <w:tcPr>
            <w:tcW w:w="1511" w:type="dxa"/>
          </w:tcPr>
          <w:p w14:paraId="48ACA7A0" w14:textId="4AC49642" w:rsidR="00012A80" w:rsidRDefault="00012A80" w:rsidP="00012A80">
            <w:pPr>
              <w:spacing w:after="0" w:line="240" w:lineRule="auto"/>
              <w:jc w:val="center"/>
              <w:rPr>
                <w:color w:val="000000" w:themeColor="text1"/>
              </w:rPr>
            </w:pPr>
            <w:r w:rsidRPr="00012A80">
              <w:rPr>
                <w:color w:val="000000" w:themeColor="text1"/>
              </w:rPr>
              <w:t>8.067.005</w:t>
            </w:r>
          </w:p>
        </w:tc>
        <w:tc>
          <w:tcPr>
            <w:tcW w:w="1511" w:type="dxa"/>
          </w:tcPr>
          <w:p w14:paraId="22A77347" w14:textId="61C9ABA7" w:rsidR="00012A80" w:rsidRDefault="00012A80" w:rsidP="00012A80">
            <w:pPr>
              <w:spacing w:after="0" w:line="240" w:lineRule="auto"/>
              <w:jc w:val="center"/>
              <w:rPr>
                <w:color w:val="000000" w:themeColor="text1"/>
              </w:rPr>
            </w:pPr>
            <w:r w:rsidRPr="00012A80">
              <w:rPr>
                <w:color w:val="000000" w:themeColor="text1"/>
              </w:rPr>
              <w:t>1.279.311</w:t>
            </w:r>
          </w:p>
        </w:tc>
      </w:tr>
      <w:tr w:rsidR="00012A80" w14:paraId="171CC191" w14:textId="77777777" w:rsidTr="00EB4B92">
        <w:tc>
          <w:tcPr>
            <w:tcW w:w="2405" w:type="dxa"/>
          </w:tcPr>
          <w:p w14:paraId="289ABAC1" w14:textId="647AC60D" w:rsidR="00012A80" w:rsidRDefault="00855AC5" w:rsidP="00012A80">
            <w:pPr>
              <w:spacing w:after="0" w:line="240" w:lineRule="auto"/>
              <w:jc w:val="both"/>
              <w:rPr>
                <w:color w:val="000000" w:themeColor="text1"/>
              </w:rPr>
            </w:pPr>
            <w:r w:rsidRPr="00855AC5">
              <w:rPr>
                <w:color w:val="000000" w:themeColor="text1"/>
              </w:rPr>
              <w:t>Harga Pangan (%)</w:t>
            </w:r>
          </w:p>
        </w:tc>
        <w:tc>
          <w:tcPr>
            <w:tcW w:w="615" w:type="dxa"/>
          </w:tcPr>
          <w:p w14:paraId="52FB382F" w14:textId="5CFE8861" w:rsidR="00012A80" w:rsidRDefault="00012A80" w:rsidP="00012A80">
            <w:pPr>
              <w:spacing w:after="0" w:line="240" w:lineRule="auto"/>
              <w:jc w:val="center"/>
              <w:rPr>
                <w:color w:val="000000" w:themeColor="text1"/>
              </w:rPr>
            </w:pPr>
            <w:r w:rsidRPr="00BA5FB5">
              <w:rPr>
                <w:color w:val="000000" w:themeColor="text1"/>
              </w:rPr>
              <w:t>10</w:t>
            </w:r>
          </w:p>
        </w:tc>
        <w:tc>
          <w:tcPr>
            <w:tcW w:w="1510" w:type="dxa"/>
          </w:tcPr>
          <w:p w14:paraId="0AA73426" w14:textId="3413BC03" w:rsidR="00012A80" w:rsidRDefault="00855AC5" w:rsidP="00855AC5">
            <w:pPr>
              <w:spacing w:after="0" w:line="240" w:lineRule="auto"/>
              <w:jc w:val="center"/>
              <w:rPr>
                <w:color w:val="000000" w:themeColor="text1"/>
              </w:rPr>
            </w:pPr>
            <w:r w:rsidRPr="00855AC5">
              <w:rPr>
                <w:color w:val="000000" w:themeColor="text1"/>
              </w:rPr>
              <w:t>109,64</w:t>
            </w:r>
          </w:p>
        </w:tc>
        <w:tc>
          <w:tcPr>
            <w:tcW w:w="1510" w:type="dxa"/>
          </w:tcPr>
          <w:p w14:paraId="4B885DCF" w14:textId="55FACE62" w:rsidR="00012A80" w:rsidRDefault="00855AC5" w:rsidP="00855AC5">
            <w:pPr>
              <w:spacing w:after="0" w:line="240" w:lineRule="auto"/>
              <w:jc w:val="center"/>
              <w:rPr>
                <w:color w:val="000000" w:themeColor="text1"/>
              </w:rPr>
            </w:pPr>
            <w:r w:rsidRPr="00855AC5">
              <w:rPr>
                <w:color w:val="000000" w:themeColor="text1"/>
              </w:rPr>
              <w:t>134,22</w:t>
            </w:r>
          </w:p>
        </w:tc>
        <w:tc>
          <w:tcPr>
            <w:tcW w:w="1511" w:type="dxa"/>
          </w:tcPr>
          <w:p w14:paraId="4983BD64" w14:textId="4E0B31F3" w:rsidR="00012A80" w:rsidRDefault="00855AC5" w:rsidP="00855AC5">
            <w:pPr>
              <w:spacing w:after="0" w:line="240" w:lineRule="auto"/>
              <w:jc w:val="center"/>
              <w:rPr>
                <w:color w:val="000000" w:themeColor="text1"/>
              </w:rPr>
            </w:pPr>
            <w:r w:rsidRPr="00855AC5">
              <w:rPr>
                <w:color w:val="000000" w:themeColor="text1"/>
              </w:rPr>
              <w:t>121,78</w:t>
            </w:r>
          </w:p>
        </w:tc>
        <w:tc>
          <w:tcPr>
            <w:tcW w:w="1511" w:type="dxa"/>
          </w:tcPr>
          <w:p w14:paraId="5E059472" w14:textId="030B35BA" w:rsidR="00012A80" w:rsidRDefault="00855AC5" w:rsidP="00855AC5">
            <w:pPr>
              <w:spacing w:after="0" w:line="240" w:lineRule="auto"/>
              <w:jc w:val="center"/>
              <w:rPr>
                <w:color w:val="000000" w:themeColor="text1"/>
              </w:rPr>
            </w:pPr>
            <w:r w:rsidRPr="00855AC5">
              <w:rPr>
                <w:color w:val="000000" w:themeColor="text1"/>
              </w:rPr>
              <w:t>8,44</w:t>
            </w:r>
          </w:p>
        </w:tc>
      </w:tr>
      <w:tr w:rsidR="00012A80" w14:paraId="13C7BC48" w14:textId="77777777" w:rsidTr="00EB4B92">
        <w:tc>
          <w:tcPr>
            <w:tcW w:w="2405" w:type="dxa"/>
          </w:tcPr>
          <w:p w14:paraId="3283500A" w14:textId="3293810A" w:rsidR="00012A80" w:rsidRDefault="00855AC5" w:rsidP="00012A80">
            <w:pPr>
              <w:spacing w:after="0" w:line="240" w:lineRule="auto"/>
              <w:jc w:val="both"/>
              <w:rPr>
                <w:color w:val="000000" w:themeColor="text1"/>
              </w:rPr>
            </w:pPr>
            <w:r w:rsidRPr="00855AC5">
              <w:rPr>
                <w:color w:val="000000" w:themeColor="text1"/>
              </w:rPr>
              <w:t>Akses Pasar</w:t>
            </w:r>
            <w:r w:rsidR="000D04E7">
              <w:rPr>
                <w:color w:val="000000" w:themeColor="text1"/>
              </w:rPr>
              <w:t xml:space="preserve"> (Lokasi)</w:t>
            </w:r>
          </w:p>
        </w:tc>
        <w:tc>
          <w:tcPr>
            <w:tcW w:w="615" w:type="dxa"/>
          </w:tcPr>
          <w:p w14:paraId="72A255D6" w14:textId="2BC2D0EC" w:rsidR="00012A80" w:rsidRDefault="00012A80" w:rsidP="00012A80">
            <w:pPr>
              <w:spacing w:after="0" w:line="240" w:lineRule="auto"/>
              <w:jc w:val="center"/>
              <w:rPr>
                <w:color w:val="000000" w:themeColor="text1"/>
              </w:rPr>
            </w:pPr>
            <w:r w:rsidRPr="00BA5FB5">
              <w:rPr>
                <w:color w:val="000000" w:themeColor="text1"/>
              </w:rPr>
              <w:t>10</w:t>
            </w:r>
          </w:p>
        </w:tc>
        <w:tc>
          <w:tcPr>
            <w:tcW w:w="1510" w:type="dxa"/>
          </w:tcPr>
          <w:p w14:paraId="58C3FA83" w14:textId="58535FCE" w:rsidR="00012A80" w:rsidRDefault="00855AC5" w:rsidP="00855AC5">
            <w:pPr>
              <w:spacing w:after="0" w:line="240" w:lineRule="auto"/>
              <w:jc w:val="center"/>
              <w:rPr>
                <w:color w:val="000000" w:themeColor="text1"/>
              </w:rPr>
            </w:pPr>
            <w:r w:rsidRPr="00855AC5">
              <w:rPr>
                <w:color w:val="000000" w:themeColor="text1"/>
              </w:rPr>
              <w:t>34</w:t>
            </w:r>
          </w:p>
        </w:tc>
        <w:tc>
          <w:tcPr>
            <w:tcW w:w="1510" w:type="dxa"/>
          </w:tcPr>
          <w:p w14:paraId="716E5285" w14:textId="46B389C4" w:rsidR="00012A80" w:rsidRDefault="00855AC5" w:rsidP="00855AC5">
            <w:pPr>
              <w:spacing w:after="0" w:line="240" w:lineRule="auto"/>
              <w:jc w:val="center"/>
              <w:rPr>
                <w:color w:val="000000" w:themeColor="text1"/>
              </w:rPr>
            </w:pPr>
            <w:r w:rsidRPr="00855AC5">
              <w:rPr>
                <w:color w:val="000000" w:themeColor="text1"/>
              </w:rPr>
              <w:t>84</w:t>
            </w:r>
          </w:p>
        </w:tc>
        <w:tc>
          <w:tcPr>
            <w:tcW w:w="1511" w:type="dxa"/>
          </w:tcPr>
          <w:p w14:paraId="3060BDD7" w14:textId="1B8BDFCD" w:rsidR="00012A80" w:rsidRDefault="00855AC5" w:rsidP="00855AC5">
            <w:pPr>
              <w:spacing w:after="0" w:line="240" w:lineRule="auto"/>
              <w:jc w:val="center"/>
              <w:rPr>
                <w:color w:val="000000" w:themeColor="text1"/>
              </w:rPr>
            </w:pPr>
            <w:r w:rsidRPr="00855AC5">
              <w:rPr>
                <w:color w:val="000000" w:themeColor="text1"/>
              </w:rPr>
              <w:t>59,30</w:t>
            </w:r>
          </w:p>
        </w:tc>
        <w:tc>
          <w:tcPr>
            <w:tcW w:w="1511" w:type="dxa"/>
          </w:tcPr>
          <w:p w14:paraId="0A5FAEF6" w14:textId="1A86FBB8" w:rsidR="00012A80" w:rsidRDefault="00855AC5" w:rsidP="00855AC5">
            <w:pPr>
              <w:spacing w:after="0" w:line="240" w:lineRule="auto"/>
              <w:jc w:val="center"/>
              <w:rPr>
                <w:color w:val="000000" w:themeColor="text1"/>
              </w:rPr>
            </w:pPr>
            <w:r w:rsidRPr="00855AC5">
              <w:rPr>
                <w:color w:val="000000" w:themeColor="text1"/>
              </w:rPr>
              <w:t>16,80</w:t>
            </w:r>
          </w:p>
        </w:tc>
      </w:tr>
      <w:tr w:rsidR="00F86C81" w14:paraId="43EFEA85" w14:textId="77777777" w:rsidTr="00EB4B92">
        <w:tc>
          <w:tcPr>
            <w:tcW w:w="2405" w:type="dxa"/>
          </w:tcPr>
          <w:p w14:paraId="4A566D3E" w14:textId="47952F61" w:rsidR="00F86C81" w:rsidRDefault="000D04E7" w:rsidP="00EB3DCB">
            <w:pPr>
              <w:spacing w:after="0" w:line="240" w:lineRule="auto"/>
              <w:jc w:val="both"/>
              <w:rPr>
                <w:color w:val="000000" w:themeColor="text1"/>
              </w:rPr>
            </w:pPr>
            <w:r w:rsidRPr="000D04E7">
              <w:rPr>
                <w:color w:val="000000" w:themeColor="text1"/>
              </w:rPr>
              <w:t>Diversifikasi Pendapatan</w:t>
            </w:r>
            <w:r>
              <w:rPr>
                <w:color w:val="000000" w:themeColor="text1"/>
              </w:rPr>
              <w:t xml:space="preserve"> (Rp)</w:t>
            </w:r>
          </w:p>
        </w:tc>
        <w:tc>
          <w:tcPr>
            <w:tcW w:w="615" w:type="dxa"/>
          </w:tcPr>
          <w:p w14:paraId="70A9C228" w14:textId="5FE7A158" w:rsidR="00F86C81" w:rsidRDefault="000D04E7" w:rsidP="000D04E7">
            <w:pPr>
              <w:spacing w:after="0" w:line="240" w:lineRule="auto"/>
              <w:jc w:val="center"/>
              <w:rPr>
                <w:color w:val="000000" w:themeColor="text1"/>
              </w:rPr>
            </w:pPr>
            <w:r w:rsidRPr="00BA5FB5">
              <w:rPr>
                <w:color w:val="000000" w:themeColor="text1"/>
              </w:rPr>
              <w:t>10</w:t>
            </w:r>
          </w:p>
        </w:tc>
        <w:tc>
          <w:tcPr>
            <w:tcW w:w="1510" w:type="dxa"/>
          </w:tcPr>
          <w:p w14:paraId="3B8A622E" w14:textId="356766FD" w:rsidR="00F86C81" w:rsidRDefault="000D04E7" w:rsidP="000D04E7">
            <w:pPr>
              <w:spacing w:after="0" w:line="240" w:lineRule="auto"/>
              <w:jc w:val="center"/>
              <w:rPr>
                <w:color w:val="000000" w:themeColor="text1"/>
              </w:rPr>
            </w:pPr>
            <w:r w:rsidRPr="000D04E7">
              <w:rPr>
                <w:color w:val="000000" w:themeColor="text1"/>
              </w:rPr>
              <w:t>119</w:t>
            </w:r>
            <w:r>
              <w:rPr>
                <w:color w:val="000000" w:themeColor="text1"/>
              </w:rPr>
              <w:t>.</w:t>
            </w:r>
            <w:r w:rsidRPr="000D04E7">
              <w:rPr>
                <w:color w:val="000000" w:themeColor="text1"/>
              </w:rPr>
              <w:t>589</w:t>
            </w:r>
          </w:p>
        </w:tc>
        <w:tc>
          <w:tcPr>
            <w:tcW w:w="1510" w:type="dxa"/>
          </w:tcPr>
          <w:p w14:paraId="46E55D0C" w14:textId="3AAA345C" w:rsidR="00F86C81" w:rsidRDefault="000D04E7" w:rsidP="000D04E7">
            <w:pPr>
              <w:spacing w:after="0" w:line="240" w:lineRule="auto"/>
              <w:jc w:val="center"/>
              <w:rPr>
                <w:color w:val="000000" w:themeColor="text1"/>
              </w:rPr>
            </w:pPr>
            <w:r w:rsidRPr="000D04E7">
              <w:rPr>
                <w:color w:val="000000" w:themeColor="text1"/>
              </w:rPr>
              <w:t>231.462</w:t>
            </w:r>
          </w:p>
        </w:tc>
        <w:tc>
          <w:tcPr>
            <w:tcW w:w="1511" w:type="dxa"/>
          </w:tcPr>
          <w:p w14:paraId="682F6322" w14:textId="14D81C81" w:rsidR="00F86C81" w:rsidRDefault="000D04E7" w:rsidP="000D04E7">
            <w:pPr>
              <w:spacing w:after="0" w:line="240" w:lineRule="auto"/>
              <w:jc w:val="center"/>
              <w:rPr>
                <w:color w:val="000000" w:themeColor="text1"/>
              </w:rPr>
            </w:pPr>
            <w:r w:rsidRPr="000D04E7">
              <w:rPr>
                <w:color w:val="000000" w:themeColor="text1"/>
                <w:lang w:val="id"/>
              </w:rPr>
              <w:t>158.298</w:t>
            </w:r>
          </w:p>
        </w:tc>
        <w:tc>
          <w:tcPr>
            <w:tcW w:w="1511" w:type="dxa"/>
          </w:tcPr>
          <w:p w14:paraId="7CFAFE04" w14:textId="44C19A97" w:rsidR="00F86C81" w:rsidRDefault="000D04E7" w:rsidP="000D04E7">
            <w:pPr>
              <w:spacing w:after="0" w:line="240" w:lineRule="auto"/>
              <w:jc w:val="center"/>
              <w:rPr>
                <w:color w:val="000000" w:themeColor="text1"/>
              </w:rPr>
            </w:pPr>
            <w:r w:rsidRPr="000D04E7">
              <w:rPr>
                <w:color w:val="000000" w:themeColor="text1"/>
                <w:lang w:val="id"/>
              </w:rPr>
              <w:t>45.830</w:t>
            </w:r>
          </w:p>
        </w:tc>
      </w:tr>
      <w:tr w:rsidR="00012A80" w14:paraId="7154AAB5" w14:textId="77777777" w:rsidTr="00EB4B92">
        <w:tc>
          <w:tcPr>
            <w:tcW w:w="2405" w:type="dxa"/>
          </w:tcPr>
          <w:p w14:paraId="6F6E85D9" w14:textId="4FC931F6" w:rsidR="00012A80" w:rsidRDefault="000D04E7" w:rsidP="00EB3DCB">
            <w:pPr>
              <w:spacing w:after="0" w:line="240" w:lineRule="auto"/>
              <w:jc w:val="both"/>
              <w:rPr>
                <w:color w:val="000000" w:themeColor="text1"/>
              </w:rPr>
            </w:pPr>
            <w:r w:rsidRPr="000D04E7">
              <w:rPr>
                <w:color w:val="000000" w:themeColor="text1"/>
              </w:rPr>
              <w:t>Valid N (listwise)</w:t>
            </w:r>
          </w:p>
        </w:tc>
        <w:tc>
          <w:tcPr>
            <w:tcW w:w="615" w:type="dxa"/>
          </w:tcPr>
          <w:p w14:paraId="7E11D163" w14:textId="1A6FEB00" w:rsidR="00012A80" w:rsidRDefault="000D04E7" w:rsidP="000D04E7">
            <w:pPr>
              <w:spacing w:after="0" w:line="240" w:lineRule="auto"/>
              <w:jc w:val="center"/>
              <w:rPr>
                <w:color w:val="000000" w:themeColor="text1"/>
              </w:rPr>
            </w:pPr>
            <w:r w:rsidRPr="000D04E7">
              <w:rPr>
                <w:color w:val="000000" w:themeColor="text1"/>
              </w:rPr>
              <w:t>10</w:t>
            </w:r>
          </w:p>
        </w:tc>
        <w:tc>
          <w:tcPr>
            <w:tcW w:w="1510" w:type="dxa"/>
          </w:tcPr>
          <w:p w14:paraId="0C9AB10A" w14:textId="77777777" w:rsidR="00012A80" w:rsidRDefault="00012A80" w:rsidP="00EB3DCB">
            <w:pPr>
              <w:spacing w:after="0" w:line="240" w:lineRule="auto"/>
              <w:jc w:val="both"/>
              <w:rPr>
                <w:color w:val="000000" w:themeColor="text1"/>
              </w:rPr>
            </w:pPr>
          </w:p>
        </w:tc>
        <w:tc>
          <w:tcPr>
            <w:tcW w:w="1510" w:type="dxa"/>
          </w:tcPr>
          <w:p w14:paraId="258679AB" w14:textId="77777777" w:rsidR="00012A80" w:rsidRDefault="00012A80" w:rsidP="00EB3DCB">
            <w:pPr>
              <w:spacing w:after="0" w:line="240" w:lineRule="auto"/>
              <w:jc w:val="both"/>
              <w:rPr>
                <w:color w:val="000000" w:themeColor="text1"/>
              </w:rPr>
            </w:pPr>
          </w:p>
        </w:tc>
        <w:tc>
          <w:tcPr>
            <w:tcW w:w="1511" w:type="dxa"/>
          </w:tcPr>
          <w:p w14:paraId="32F64EF8" w14:textId="77777777" w:rsidR="00012A80" w:rsidRDefault="00012A80" w:rsidP="00EB3DCB">
            <w:pPr>
              <w:spacing w:after="0" w:line="240" w:lineRule="auto"/>
              <w:jc w:val="both"/>
              <w:rPr>
                <w:color w:val="000000" w:themeColor="text1"/>
              </w:rPr>
            </w:pPr>
          </w:p>
        </w:tc>
        <w:tc>
          <w:tcPr>
            <w:tcW w:w="1511" w:type="dxa"/>
          </w:tcPr>
          <w:p w14:paraId="2E403C43" w14:textId="77777777" w:rsidR="00012A80" w:rsidRDefault="00012A80" w:rsidP="00EB3DCB">
            <w:pPr>
              <w:spacing w:after="0" w:line="240" w:lineRule="auto"/>
              <w:jc w:val="both"/>
              <w:rPr>
                <w:color w:val="000000" w:themeColor="text1"/>
              </w:rPr>
            </w:pPr>
          </w:p>
        </w:tc>
      </w:tr>
    </w:tbl>
    <w:p w14:paraId="579A0217" w14:textId="77777777" w:rsidR="00EB4B92" w:rsidRDefault="00EB4B92" w:rsidP="00EB3DCB">
      <w:pPr>
        <w:spacing w:after="0" w:line="240" w:lineRule="auto"/>
        <w:jc w:val="both"/>
        <w:rPr>
          <w:color w:val="000000" w:themeColor="text1"/>
          <w:lang w:val="id-ID"/>
        </w:rPr>
      </w:pPr>
    </w:p>
    <w:p w14:paraId="48C9EE0E" w14:textId="01C484BC" w:rsidR="00D4791D" w:rsidRPr="00F86C81" w:rsidRDefault="00EB4B92" w:rsidP="00EB3DCB">
      <w:pPr>
        <w:spacing w:after="0" w:line="240" w:lineRule="auto"/>
        <w:jc w:val="both"/>
        <w:rPr>
          <w:color w:val="000000" w:themeColor="text1"/>
          <w:lang w:val="id-ID"/>
        </w:rPr>
      </w:pPr>
      <w:r w:rsidRPr="00EB4B92">
        <w:rPr>
          <w:color w:val="000000" w:themeColor="text1"/>
          <w:lang w:val="id-ID"/>
        </w:rPr>
        <w:t xml:space="preserve">Berdasarkan hasil analisis deskriptif terhadap 10 observasi (2015–2024), diketahui bahwa rata-rata ketahanan pangan rumah tangga sebesar 33,43 kg/kapita/tahun dengan nilai minimum 31,38 kg dan maksimum 35,61 kg serta standar deviasi 1,25 yang menunjukkan fluktuasi relatif kecil. Rata-rata pendapatan rumah tangga sebesar Rp 15.887.130 per tahun dengan variasi yang cukup besar (Std. Deviasi Rp 3.381.772), sejalan dengan rata-rata pengeluaran pangan sebesar Rp 8.067.005 dan standar deviasi Rp 1.279.311. Harga pangan memiliki rata-rata 121,78% dengan fluktuasi sedang (Std. Deviasi 8,44), sementara akses pasar menunjukkan rata-rata 59,30 dengan rentang yang cukup lebar (34–84) dan standar deviasi 16,80 yang menandakan adanya peningkatan akses dari tahun ke tahun. Diversifikasi pendapatan memiliki rata-rata Rp 158.298 dengan standar deviasi Rp 45.830 yang menunjukkan variasi yang cukup besar antarperiode. </w:t>
      </w:r>
      <w:r>
        <w:rPr>
          <w:color w:val="000000" w:themeColor="text1"/>
          <w:lang w:val="id-ID"/>
        </w:rPr>
        <w:t>D</w:t>
      </w:r>
      <w:r w:rsidRPr="00EB4B92">
        <w:rPr>
          <w:color w:val="000000" w:themeColor="text1"/>
          <w:lang w:val="id-ID"/>
        </w:rPr>
        <w:t>ata</w:t>
      </w:r>
      <w:r>
        <w:rPr>
          <w:color w:val="000000" w:themeColor="text1"/>
          <w:lang w:val="id-ID"/>
        </w:rPr>
        <w:t xml:space="preserve"> secara umum</w:t>
      </w:r>
      <w:r w:rsidRPr="00EB4B92">
        <w:rPr>
          <w:color w:val="000000" w:themeColor="text1"/>
          <w:lang w:val="id-ID"/>
        </w:rPr>
        <w:t xml:space="preserve"> menunjukkan bahwa variabel ekonomi rumah tangga cenderung mengalami peningkatan meskipun terdapat variasi tertentu, sedangkan ketahanan pangan relatif stabil selama periode penelitian.</w:t>
      </w:r>
    </w:p>
    <w:p w14:paraId="76308DBB" w14:textId="77777777" w:rsidR="00D4791D" w:rsidRPr="00D4791D" w:rsidRDefault="00D4791D" w:rsidP="00EB3DCB">
      <w:pPr>
        <w:spacing w:after="0" w:line="240" w:lineRule="auto"/>
        <w:jc w:val="both"/>
        <w:rPr>
          <w:color w:val="000000" w:themeColor="text1"/>
          <w:lang w:val="id-ID"/>
        </w:rPr>
      </w:pPr>
    </w:p>
    <w:p w14:paraId="32E93BDF" w14:textId="52295459" w:rsidR="00EB3DCB" w:rsidRPr="00EB3DCB" w:rsidRDefault="00EB3DCB" w:rsidP="00EB3DCB">
      <w:pPr>
        <w:spacing w:after="0" w:line="240" w:lineRule="auto"/>
        <w:jc w:val="both"/>
        <w:rPr>
          <w:b/>
          <w:bCs/>
          <w:color w:val="000000" w:themeColor="text1"/>
          <w:lang w:val="id-ID"/>
        </w:rPr>
      </w:pPr>
      <w:r w:rsidRPr="00EB3DCB">
        <w:rPr>
          <w:b/>
          <w:bCs/>
          <w:color w:val="000000" w:themeColor="text1"/>
          <w:lang w:val="id-ID"/>
        </w:rPr>
        <w:t>Uji Asumsi Klasik</w:t>
      </w:r>
    </w:p>
    <w:p w14:paraId="0536013A" w14:textId="378748B9" w:rsidR="00EB3DCB" w:rsidRPr="00EB3DCB" w:rsidRDefault="00EB3DCB" w:rsidP="00C6661A">
      <w:pPr>
        <w:spacing w:after="0" w:line="240" w:lineRule="auto"/>
        <w:jc w:val="both"/>
        <w:rPr>
          <w:color w:val="000000" w:themeColor="text1"/>
          <w:lang w:val="id-ID"/>
        </w:rPr>
      </w:pPr>
      <w:r w:rsidRPr="00EB3DCB">
        <w:rPr>
          <w:color w:val="000000" w:themeColor="text1"/>
          <w:lang w:val="id-ID"/>
        </w:rPr>
        <w:t>Uji asumsi klasik adalah tahap penting sebelum melakukan interpretasi regresi. Jika seluruh asumsi terpenuhi (normalitas, tidak ada heteroskedastisitas, dan tidak ada multikolinearitas), maka model regresi dianggap layak dan hasil uji t serta uji F dapat digunakan sebagai dasar penarikan kesimpulan.</w:t>
      </w:r>
      <w:r w:rsidR="00C6661A">
        <w:rPr>
          <w:color w:val="000000" w:themeColor="text1"/>
          <w:lang w:val="en-US"/>
        </w:rPr>
        <w:t xml:space="preserve"> </w:t>
      </w:r>
      <w:r w:rsidRPr="00EB3DCB">
        <w:rPr>
          <w:color w:val="000000" w:themeColor="text1"/>
          <w:lang w:val="id-ID"/>
        </w:rPr>
        <w:t>Uji normalitas dilakukan untuk mengetahui apakah data residual pada model regresi berdistribusi normal. Berikut ringkasan hasil uji K-S yang diperoleh:</w:t>
      </w:r>
    </w:p>
    <w:p w14:paraId="7690DC5C" w14:textId="77777777" w:rsidR="00B61877" w:rsidRDefault="00B61877" w:rsidP="00EB3DCB">
      <w:pPr>
        <w:spacing w:after="0" w:line="240" w:lineRule="auto"/>
        <w:jc w:val="both"/>
        <w:rPr>
          <w:b/>
          <w:bCs/>
          <w:color w:val="000000" w:themeColor="text1"/>
          <w:lang w:val="en-US"/>
        </w:rPr>
      </w:pPr>
      <w:bookmarkStart w:id="0" w:name="_Hlk214540518"/>
    </w:p>
    <w:p w14:paraId="03D9CFDD" w14:textId="7E19AD65" w:rsidR="00EB3DCB" w:rsidRPr="00EB3DCB" w:rsidRDefault="00EB3DCB" w:rsidP="00EB3DCB">
      <w:pPr>
        <w:spacing w:after="0" w:line="240" w:lineRule="auto"/>
        <w:jc w:val="both"/>
        <w:rPr>
          <w:b/>
          <w:bCs/>
          <w:color w:val="000000" w:themeColor="text1"/>
          <w:lang w:val="id-ID"/>
        </w:rPr>
      </w:pPr>
      <w:r w:rsidRPr="00EB3DCB">
        <w:rPr>
          <w:b/>
          <w:bCs/>
          <w:color w:val="000000" w:themeColor="text1"/>
          <w:lang w:val="id-ID"/>
        </w:rPr>
        <w:t xml:space="preserve">Tabel </w:t>
      </w:r>
      <w:r w:rsidR="00EB4B92">
        <w:rPr>
          <w:b/>
          <w:bCs/>
          <w:color w:val="000000" w:themeColor="text1"/>
          <w:lang w:val="id-ID"/>
        </w:rPr>
        <w:t>2</w:t>
      </w:r>
      <w:r w:rsidRPr="00EB3DCB">
        <w:rPr>
          <w:b/>
          <w:bCs/>
          <w:color w:val="000000" w:themeColor="text1"/>
          <w:lang w:val="id-ID"/>
        </w:rPr>
        <w:t>. Uji Normalitas</w:t>
      </w:r>
    </w:p>
    <w:bookmarkEnd w:id="0"/>
    <w:p w14:paraId="5607F0D4" w14:textId="77777777" w:rsidR="00EB3DCB" w:rsidRPr="00EB3DCB" w:rsidRDefault="00EB3DCB" w:rsidP="00EB3DCB">
      <w:pPr>
        <w:spacing w:after="0" w:line="240" w:lineRule="auto"/>
        <w:jc w:val="both"/>
        <w:rPr>
          <w:b/>
          <w:bCs/>
          <w:color w:val="000000" w:themeColor="text1"/>
          <w:lang w:val="id-ID"/>
        </w:rPr>
      </w:pPr>
      <w:r w:rsidRPr="00EB3DCB">
        <w:rPr>
          <w:b/>
          <w:bCs/>
          <w:color w:val="000000" w:themeColor="text1"/>
          <w:lang w:val="id-ID"/>
        </w:rPr>
        <w:t>One-Sample Kolmogorov-Smirnov Test</w:t>
      </w:r>
    </w:p>
    <w:p w14:paraId="09AEE0EA" w14:textId="77777777" w:rsidR="00EB3DCB" w:rsidRPr="00EB3DCB" w:rsidRDefault="00EB3DCB" w:rsidP="00EB3DCB">
      <w:pPr>
        <w:spacing w:after="0" w:line="240" w:lineRule="auto"/>
        <w:contextualSpacing/>
        <w:jc w:val="both"/>
        <w:rPr>
          <w:color w:val="000000" w:themeColor="text1"/>
          <w:lang w:val="id-ID"/>
        </w:rPr>
      </w:pPr>
    </w:p>
    <w:tbl>
      <w:tblPr>
        <w:tblW w:w="9040"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5883"/>
        <w:gridCol w:w="3157"/>
      </w:tblGrid>
      <w:tr w:rsidR="00EB3DCB" w:rsidRPr="00EB3DCB" w14:paraId="6B7B5578" w14:textId="77777777" w:rsidTr="0068014C">
        <w:trPr>
          <w:cantSplit/>
          <w:trHeight w:val="241"/>
        </w:trPr>
        <w:tc>
          <w:tcPr>
            <w:tcW w:w="9040" w:type="dxa"/>
            <w:gridSpan w:val="2"/>
            <w:vAlign w:val="bottom"/>
          </w:tcPr>
          <w:p w14:paraId="14F73A11" w14:textId="77777777" w:rsidR="00EB3DCB" w:rsidRPr="00EB3DCB" w:rsidRDefault="00EB3DCB" w:rsidP="00EB3DCB">
            <w:pPr>
              <w:spacing w:after="0" w:line="240" w:lineRule="auto"/>
              <w:jc w:val="right"/>
              <w:rPr>
                <w:color w:val="000000" w:themeColor="text1"/>
                <w:lang w:val="en-US"/>
              </w:rPr>
            </w:pPr>
            <w:r w:rsidRPr="00EB3DCB">
              <w:rPr>
                <w:color w:val="000000" w:themeColor="text1"/>
                <w:lang w:val="en-US"/>
              </w:rPr>
              <w:t>Unstandardized Residual</w:t>
            </w:r>
          </w:p>
        </w:tc>
      </w:tr>
      <w:tr w:rsidR="00EB3DCB" w:rsidRPr="00EB3DCB" w14:paraId="103C2627" w14:textId="77777777" w:rsidTr="0068014C">
        <w:trPr>
          <w:cantSplit/>
          <w:trHeight w:val="260"/>
        </w:trPr>
        <w:tc>
          <w:tcPr>
            <w:tcW w:w="5883" w:type="dxa"/>
          </w:tcPr>
          <w:p w14:paraId="758ADEBE" w14:textId="77777777" w:rsidR="00EB3DCB" w:rsidRPr="00EB3DCB" w:rsidRDefault="00EB3DCB" w:rsidP="00EB3DCB">
            <w:pPr>
              <w:spacing w:after="0" w:line="240" w:lineRule="auto"/>
              <w:jc w:val="both"/>
              <w:rPr>
                <w:color w:val="000000" w:themeColor="text1"/>
                <w:lang w:val="en-US"/>
              </w:rPr>
            </w:pPr>
            <w:r w:rsidRPr="00EB3DCB">
              <w:rPr>
                <w:color w:val="000000" w:themeColor="text1"/>
                <w:lang w:val="en-US"/>
              </w:rPr>
              <w:t>N</w:t>
            </w:r>
          </w:p>
        </w:tc>
        <w:tc>
          <w:tcPr>
            <w:tcW w:w="3157" w:type="dxa"/>
          </w:tcPr>
          <w:p w14:paraId="6B900C7E"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10</w:t>
            </w:r>
          </w:p>
        </w:tc>
      </w:tr>
      <w:tr w:rsidR="00EB3DCB" w:rsidRPr="00EB3DCB" w14:paraId="34D2404F" w14:textId="77777777" w:rsidTr="0068014C">
        <w:trPr>
          <w:cantSplit/>
          <w:trHeight w:val="263"/>
        </w:trPr>
        <w:tc>
          <w:tcPr>
            <w:tcW w:w="5883" w:type="dxa"/>
          </w:tcPr>
          <w:p w14:paraId="5EEC524B" w14:textId="77777777" w:rsidR="00EB3DCB" w:rsidRPr="00EB3DCB" w:rsidRDefault="00EB3DCB" w:rsidP="00EB3DCB">
            <w:pPr>
              <w:spacing w:after="0" w:line="240" w:lineRule="auto"/>
              <w:jc w:val="both"/>
              <w:rPr>
                <w:color w:val="000000" w:themeColor="text1"/>
                <w:lang w:val="en-US"/>
              </w:rPr>
            </w:pPr>
            <w:r w:rsidRPr="00EB3DCB">
              <w:rPr>
                <w:color w:val="000000" w:themeColor="text1"/>
                <w:lang w:val="en-US"/>
              </w:rPr>
              <w:t>Test Statistic</w:t>
            </w:r>
          </w:p>
        </w:tc>
        <w:tc>
          <w:tcPr>
            <w:tcW w:w="3157" w:type="dxa"/>
          </w:tcPr>
          <w:p w14:paraId="2B1DE476"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.230</w:t>
            </w:r>
          </w:p>
        </w:tc>
      </w:tr>
      <w:tr w:rsidR="00EB3DCB" w:rsidRPr="00EB3DCB" w14:paraId="39EAB64A" w14:textId="77777777" w:rsidTr="007D41CA">
        <w:trPr>
          <w:cantSplit/>
          <w:trHeight w:val="307"/>
        </w:trPr>
        <w:tc>
          <w:tcPr>
            <w:tcW w:w="5883" w:type="dxa"/>
          </w:tcPr>
          <w:p w14:paraId="00F9EE72" w14:textId="77777777" w:rsidR="00EB3DCB" w:rsidRPr="00EB3DCB" w:rsidRDefault="00EB3DCB" w:rsidP="00EB3DCB">
            <w:pPr>
              <w:spacing w:after="0" w:line="240" w:lineRule="auto"/>
              <w:jc w:val="both"/>
              <w:rPr>
                <w:color w:val="000000" w:themeColor="text1"/>
                <w:lang w:val="en-US"/>
              </w:rPr>
            </w:pPr>
            <w:r w:rsidRPr="00EB3DCB">
              <w:rPr>
                <w:color w:val="000000" w:themeColor="text1"/>
                <w:lang w:val="en-US"/>
              </w:rPr>
              <w:lastRenderedPageBreak/>
              <w:t>Asymp. Sig. (2-tailed)</w:t>
            </w:r>
          </w:p>
        </w:tc>
        <w:tc>
          <w:tcPr>
            <w:tcW w:w="3157" w:type="dxa"/>
          </w:tcPr>
          <w:p w14:paraId="0F3D336E"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.142</w:t>
            </w:r>
          </w:p>
        </w:tc>
      </w:tr>
    </w:tbl>
    <w:p w14:paraId="0B2AF216" w14:textId="77777777" w:rsidR="00C6661A" w:rsidRDefault="00C6661A" w:rsidP="00C6661A">
      <w:pPr>
        <w:spacing w:after="0" w:line="240" w:lineRule="auto"/>
        <w:jc w:val="both"/>
        <w:rPr>
          <w:color w:val="000000" w:themeColor="text1"/>
          <w:lang w:val="en-US"/>
        </w:rPr>
      </w:pPr>
    </w:p>
    <w:p w14:paraId="7C60041E" w14:textId="77777777" w:rsidR="00EB3DCB" w:rsidRPr="00EB3DCB" w:rsidRDefault="00EB3DCB" w:rsidP="00C6661A">
      <w:pPr>
        <w:spacing w:after="0" w:line="240" w:lineRule="auto"/>
        <w:jc w:val="both"/>
        <w:rPr>
          <w:color w:val="000000" w:themeColor="text1"/>
          <w:lang w:val="id-ID"/>
        </w:rPr>
      </w:pPr>
      <w:r w:rsidRPr="00EB3DCB">
        <w:rPr>
          <w:color w:val="000000" w:themeColor="text1"/>
          <w:lang w:val="id-ID"/>
        </w:rPr>
        <w:t>Uji normalitas dilakukan menggunakan Kolmogorov–Smirnov Test dengan jumlah sampel sebanyak 10 data residual. Hasil pengujian menunjukkan nilai statistik K-S sebesar 0.230 dengan nilai signifikansi sebesar 0.142. Karena nilai sig. &gt; 0.05, maka residual dalam model regresi dinyatakan berdistribusi normal. Artinya, Asumsi normalitas terpenuhi sehingga model layak untuk digunakan dalam analisis regresi lebih lanjut.</w:t>
      </w:r>
    </w:p>
    <w:p w14:paraId="0995E5F3" w14:textId="77777777" w:rsidR="00C6661A" w:rsidRDefault="00C6661A" w:rsidP="00C6661A">
      <w:pPr>
        <w:spacing w:after="0" w:line="240" w:lineRule="auto"/>
        <w:jc w:val="both"/>
        <w:rPr>
          <w:color w:val="000000" w:themeColor="text1"/>
          <w:lang w:val="en-US"/>
        </w:rPr>
      </w:pPr>
    </w:p>
    <w:p w14:paraId="381FA753" w14:textId="77777777" w:rsidR="00C6661A" w:rsidRPr="00C6661A" w:rsidRDefault="00C6661A" w:rsidP="00C6661A">
      <w:pPr>
        <w:spacing w:after="0" w:line="240" w:lineRule="auto"/>
        <w:jc w:val="both"/>
        <w:rPr>
          <w:b/>
          <w:color w:val="000000" w:themeColor="text1"/>
          <w:lang w:val="en-US"/>
        </w:rPr>
      </w:pPr>
      <w:r w:rsidRPr="00C6661A">
        <w:rPr>
          <w:b/>
          <w:color w:val="000000" w:themeColor="text1"/>
          <w:lang w:val="en-US"/>
        </w:rPr>
        <w:t>Uji Heteroskedastisitas</w:t>
      </w:r>
    </w:p>
    <w:p w14:paraId="0A8AE325" w14:textId="3162F07F" w:rsidR="00EB3DCB" w:rsidRPr="00EB3DCB" w:rsidRDefault="00EB3DCB" w:rsidP="00C6661A">
      <w:pPr>
        <w:spacing w:after="0" w:line="240" w:lineRule="auto"/>
        <w:jc w:val="both"/>
        <w:rPr>
          <w:color w:val="000000" w:themeColor="text1"/>
          <w:lang w:val="id-ID"/>
        </w:rPr>
      </w:pPr>
      <w:r w:rsidRPr="00EB3DCB">
        <w:rPr>
          <w:color w:val="000000" w:themeColor="text1"/>
          <w:lang w:val="id-ID"/>
        </w:rPr>
        <w:t>Uji heteroskedastisitas bertujuan untuk mengetahui apakah dalam model regresi terjadi ketidaksamaan varians residual dari satu pengamatan ke pengamatan lainnya. Jika model mengandung heteroskedastisitas, maka varians error tidak konstan dan dapat menyebabkan hasil regresi menjadi tidak efisien. Metode Glejser dilakukan dengan meregresikan nilai ABS_Residual terhadap variabel independen. Suatu variabel dianggap menunjukkan adanya heteroskedastisitas jika nilai Sig. &lt; 0.05.</w:t>
      </w:r>
    </w:p>
    <w:p w14:paraId="3BB10DB5" w14:textId="77777777" w:rsidR="00C6661A" w:rsidRDefault="00C6661A" w:rsidP="00EB3DCB">
      <w:pPr>
        <w:spacing w:after="0" w:line="240" w:lineRule="auto"/>
        <w:contextualSpacing/>
        <w:jc w:val="both"/>
        <w:rPr>
          <w:b/>
          <w:bCs/>
          <w:color w:val="000000" w:themeColor="text1"/>
          <w:lang w:val="en-US"/>
        </w:rPr>
      </w:pPr>
      <w:bookmarkStart w:id="1" w:name="_Hlk214540556"/>
    </w:p>
    <w:p w14:paraId="0D38B9D1" w14:textId="2ABA18EC" w:rsidR="00EB3DCB" w:rsidRPr="00EB3DCB" w:rsidRDefault="00EB3DCB" w:rsidP="00EB3DCB">
      <w:pPr>
        <w:spacing w:after="0" w:line="240" w:lineRule="auto"/>
        <w:contextualSpacing/>
        <w:jc w:val="both"/>
        <w:rPr>
          <w:b/>
          <w:bCs/>
          <w:color w:val="000000" w:themeColor="text1"/>
          <w:lang w:val="id-ID"/>
        </w:rPr>
      </w:pPr>
      <w:r w:rsidRPr="00EB3DCB">
        <w:rPr>
          <w:b/>
          <w:bCs/>
          <w:color w:val="000000" w:themeColor="text1"/>
          <w:lang w:val="id-ID"/>
        </w:rPr>
        <w:t xml:space="preserve">Tabel </w:t>
      </w:r>
      <w:r w:rsidR="00EB4B92">
        <w:rPr>
          <w:b/>
          <w:bCs/>
          <w:color w:val="000000" w:themeColor="text1"/>
          <w:lang w:val="id-ID"/>
        </w:rPr>
        <w:t>3</w:t>
      </w:r>
      <w:r w:rsidRPr="00EB3DCB">
        <w:rPr>
          <w:b/>
          <w:bCs/>
          <w:color w:val="000000" w:themeColor="text1"/>
          <w:lang w:val="id-ID"/>
        </w:rPr>
        <w:t>. Uji heteroskedastisitas</w:t>
      </w:r>
    </w:p>
    <w:bookmarkEnd w:id="1"/>
    <w:p w14:paraId="543D4351" w14:textId="77777777" w:rsidR="00EB3DCB" w:rsidRPr="00EB3DCB" w:rsidRDefault="00EB3DCB" w:rsidP="00EB3DCB">
      <w:pPr>
        <w:spacing w:after="0" w:line="240" w:lineRule="auto"/>
        <w:jc w:val="both"/>
        <w:rPr>
          <w:b/>
          <w:bCs/>
          <w:color w:val="000000" w:themeColor="text1"/>
          <w:lang w:val="id-ID"/>
        </w:rPr>
      </w:pPr>
      <w:r w:rsidRPr="00EB3DCB">
        <w:rPr>
          <w:b/>
          <w:bCs/>
          <w:color w:val="000000" w:themeColor="text1"/>
          <w:lang w:val="id-ID"/>
        </w:rPr>
        <w:t>Coefficients</w:t>
      </w:r>
    </w:p>
    <w:tbl>
      <w:tblPr>
        <w:tblW w:w="9060"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20"/>
        <w:gridCol w:w="1319"/>
        <w:gridCol w:w="1490"/>
        <w:gridCol w:w="1490"/>
        <w:gridCol w:w="1644"/>
        <w:gridCol w:w="1147"/>
        <w:gridCol w:w="1150"/>
      </w:tblGrid>
      <w:tr w:rsidR="00EB3DCB" w:rsidRPr="00EB3DCB" w14:paraId="4769BEAF" w14:textId="77777777" w:rsidTr="003318AA">
        <w:trPr>
          <w:cantSplit/>
          <w:trHeight w:val="841"/>
        </w:trPr>
        <w:tc>
          <w:tcPr>
            <w:tcW w:w="2139" w:type="dxa"/>
            <w:gridSpan w:val="2"/>
            <w:vMerge w:val="restart"/>
            <w:vAlign w:val="bottom"/>
          </w:tcPr>
          <w:p w14:paraId="4D4C63B3" w14:textId="77777777" w:rsidR="00EB3DCB" w:rsidRPr="00EB3DCB" w:rsidRDefault="00EB3DCB" w:rsidP="00EB3DCB">
            <w:pPr>
              <w:spacing w:after="0" w:line="240" w:lineRule="auto"/>
              <w:jc w:val="both"/>
              <w:rPr>
                <w:color w:val="000000" w:themeColor="text1"/>
                <w:lang w:val="en-US"/>
              </w:rPr>
            </w:pPr>
            <w:r w:rsidRPr="00EB3DCB">
              <w:rPr>
                <w:color w:val="000000" w:themeColor="text1"/>
                <w:lang w:val="en-US"/>
              </w:rPr>
              <w:t>Model</w:t>
            </w:r>
          </w:p>
        </w:tc>
        <w:tc>
          <w:tcPr>
            <w:tcW w:w="2980" w:type="dxa"/>
            <w:gridSpan w:val="2"/>
            <w:vAlign w:val="bottom"/>
          </w:tcPr>
          <w:p w14:paraId="0699ABBD"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Unstandardized Coefficients</w:t>
            </w:r>
          </w:p>
        </w:tc>
        <w:tc>
          <w:tcPr>
            <w:tcW w:w="1644" w:type="dxa"/>
            <w:vAlign w:val="bottom"/>
          </w:tcPr>
          <w:p w14:paraId="505E1FBE"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Standardized Coefficients</w:t>
            </w:r>
          </w:p>
        </w:tc>
        <w:tc>
          <w:tcPr>
            <w:tcW w:w="1147" w:type="dxa"/>
            <w:vMerge w:val="restart"/>
            <w:vAlign w:val="bottom"/>
          </w:tcPr>
          <w:p w14:paraId="45F48AB3"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T</w:t>
            </w:r>
          </w:p>
        </w:tc>
        <w:tc>
          <w:tcPr>
            <w:tcW w:w="1147" w:type="dxa"/>
            <w:vMerge w:val="restart"/>
            <w:vAlign w:val="bottom"/>
          </w:tcPr>
          <w:p w14:paraId="5179C43A"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Sig.</w:t>
            </w:r>
          </w:p>
        </w:tc>
      </w:tr>
      <w:tr w:rsidR="00EB3DCB" w:rsidRPr="00EB3DCB" w14:paraId="3BD7B6C0" w14:textId="77777777" w:rsidTr="003318AA">
        <w:trPr>
          <w:cantSplit/>
          <w:trHeight w:val="147"/>
        </w:trPr>
        <w:tc>
          <w:tcPr>
            <w:tcW w:w="2139" w:type="dxa"/>
            <w:gridSpan w:val="2"/>
            <w:vMerge/>
            <w:vAlign w:val="bottom"/>
          </w:tcPr>
          <w:p w14:paraId="3EC522B4" w14:textId="77777777" w:rsidR="00EB3DCB" w:rsidRPr="00EB3DCB" w:rsidRDefault="00EB3DCB" w:rsidP="00EB3DCB">
            <w:pPr>
              <w:spacing w:after="0" w:line="240" w:lineRule="auto"/>
              <w:jc w:val="both"/>
              <w:rPr>
                <w:color w:val="000000" w:themeColor="text1"/>
                <w:lang w:val="en-US"/>
              </w:rPr>
            </w:pPr>
          </w:p>
        </w:tc>
        <w:tc>
          <w:tcPr>
            <w:tcW w:w="1490" w:type="dxa"/>
            <w:vAlign w:val="bottom"/>
          </w:tcPr>
          <w:p w14:paraId="2BD13925" w14:textId="77777777" w:rsidR="00EB3DCB" w:rsidRPr="00EB3DCB" w:rsidRDefault="00EB3DCB" w:rsidP="00EB3DCB">
            <w:pPr>
              <w:spacing w:after="0" w:line="240" w:lineRule="auto"/>
              <w:jc w:val="both"/>
              <w:rPr>
                <w:color w:val="000000" w:themeColor="text1"/>
                <w:lang w:val="en-US"/>
              </w:rPr>
            </w:pPr>
            <w:r w:rsidRPr="00EB3DCB">
              <w:rPr>
                <w:color w:val="000000" w:themeColor="text1"/>
                <w:lang w:val="en-US"/>
              </w:rPr>
              <w:t>B</w:t>
            </w:r>
          </w:p>
        </w:tc>
        <w:tc>
          <w:tcPr>
            <w:tcW w:w="1490" w:type="dxa"/>
            <w:vAlign w:val="bottom"/>
          </w:tcPr>
          <w:p w14:paraId="148A0D8C"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Std. Error</w:t>
            </w:r>
          </w:p>
        </w:tc>
        <w:tc>
          <w:tcPr>
            <w:tcW w:w="1644" w:type="dxa"/>
            <w:vAlign w:val="bottom"/>
          </w:tcPr>
          <w:p w14:paraId="0F3663D1"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Beta</w:t>
            </w:r>
          </w:p>
        </w:tc>
        <w:tc>
          <w:tcPr>
            <w:tcW w:w="1147" w:type="dxa"/>
            <w:vMerge/>
            <w:vAlign w:val="bottom"/>
          </w:tcPr>
          <w:p w14:paraId="34A005FE" w14:textId="77777777" w:rsidR="00EB3DCB" w:rsidRPr="00EB3DCB" w:rsidRDefault="00EB3DCB" w:rsidP="00EB3DCB">
            <w:pPr>
              <w:spacing w:after="0" w:line="240" w:lineRule="auto"/>
              <w:jc w:val="center"/>
              <w:rPr>
                <w:color w:val="000000" w:themeColor="text1"/>
                <w:lang w:val="en-US"/>
              </w:rPr>
            </w:pPr>
          </w:p>
        </w:tc>
        <w:tc>
          <w:tcPr>
            <w:tcW w:w="1147" w:type="dxa"/>
            <w:vMerge/>
            <w:vAlign w:val="bottom"/>
          </w:tcPr>
          <w:p w14:paraId="7A12BC88" w14:textId="77777777" w:rsidR="00EB3DCB" w:rsidRPr="00EB3DCB" w:rsidRDefault="00EB3DCB" w:rsidP="00EB3DCB">
            <w:pPr>
              <w:spacing w:after="0" w:line="240" w:lineRule="auto"/>
              <w:jc w:val="center"/>
              <w:rPr>
                <w:color w:val="000000" w:themeColor="text1"/>
                <w:lang w:val="en-US"/>
              </w:rPr>
            </w:pPr>
          </w:p>
        </w:tc>
      </w:tr>
      <w:tr w:rsidR="00EB3DCB" w:rsidRPr="00EB3DCB" w14:paraId="31BBC3CB" w14:textId="77777777" w:rsidTr="003318AA">
        <w:trPr>
          <w:cantSplit/>
          <w:trHeight w:val="420"/>
        </w:trPr>
        <w:tc>
          <w:tcPr>
            <w:tcW w:w="820" w:type="dxa"/>
            <w:vMerge w:val="restart"/>
          </w:tcPr>
          <w:p w14:paraId="5D8ABBA4" w14:textId="77777777" w:rsidR="00EB3DCB" w:rsidRPr="00EB3DCB" w:rsidRDefault="00EB3DCB" w:rsidP="00EB3DCB">
            <w:pPr>
              <w:spacing w:after="0" w:line="240" w:lineRule="auto"/>
              <w:jc w:val="both"/>
              <w:rPr>
                <w:color w:val="000000" w:themeColor="text1"/>
                <w:lang w:val="en-US"/>
              </w:rPr>
            </w:pPr>
            <w:r w:rsidRPr="00EB3DCB">
              <w:rPr>
                <w:color w:val="000000" w:themeColor="text1"/>
                <w:lang w:val="en-US"/>
              </w:rPr>
              <w:t>1</w:t>
            </w:r>
          </w:p>
        </w:tc>
        <w:tc>
          <w:tcPr>
            <w:tcW w:w="1319" w:type="dxa"/>
          </w:tcPr>
          <w:p w14:paraId="2E4D5EE4" w14:textId="77777777" w:rsidR="00EB3DCB" w:rsidRPr="00EB3DCB" w:rsidRDefault="00EB3DCB" w:rsidP="00EB3DCB">
            <w:pPr>
              <w:spacing w:after="0" w:line="240" w:lineRule="auto"/>
              <w:ind w:left="170"/>
              <w:jc w:val="both"/>
              <w:rPr>
                <w:color w:val="000000" w:themeColor="text1"/>
                <w:lang w:val="en-US"/>
              </w:rPr>
            </w:pPr>
            <w:r w:rsidRPr="00EB3DCB">
              <w:rPr>
                <w:color w:val="000000" w:themeColor="text1"/>
                <w:lang w:val="en-US"/>
              </w:rPr>
              <w:t>(Constant)</w:t>
            </w:r>
          </w:p>
        </w:tc>
        <w:tc>
          <w:tcPr>
            <w:tcW w:w="1490" w:type="dxa"/>
          </w:tcPr>
          <w:p w14:paraId="693E2246" w14:textId="77777777" w:rsidR="00EB3DCB" w:rsidRPr="00EB3DCB" w:rsidRDefault="00EB3DCB" w:rsidP="00EB3DCB">
            <w:pPr>
              <w:spacing w:after="0" w:line="240" w:lineRule="auto"/>
              <w:ind w:left="118" w:right="226"/>
              <w:jc w:val="right"/>
              <w:rPr>
                <w:color w:val="000000" w:themeColor="text1"/>
                <w:lang w:val="en-US"/>
              </w:rPr>
            </w:pPr>
            <w:r w:rsidRPr="00EB3DCB">
              <w:rPr>
                <w:color w:val="000000" w:themeColor="text1"/>
                <w:lang w:val="en-US"/>
              </w:rPr>
              <w:t>3.357</w:t>
            </w:r>
          </w:p>
        </w:tc>
        <w:tc>
          <w:tcPr>
            <w:tcW w:w="1490" w:type="dxa"/>
          </w:tcPr>
          <w:p w14:paraId="0FB5C248" w14:textId="77777777" w:rsidR="00EB3DCB" w:rsidRPr="00EB3DCB" w:rsidRDefault="00EB3DCB" w:rsidP="00EB3DCB">
            <w:pPr>
              <w:spacing w:after="0" w:line="240" w:lineRule="auto"/>
              <w:ind w:left="118" w:right="226"/>
              <w:jc w:val="right"/>
              <w:rPr>
                <w:color w:val="000000" w:themeColor="text1"/>
                <w:lang w:val="en-US"/>
              </w:rPr>
            </w:pPr>
            <w:r w:rsidRPr="00EB3DCB">
              <w:rPr>
                <w:color w:val="000000" w:themeColor="text1"/>
                <w:lang w:val="en-US"/>
              </w:rPr>
              <w:t>1.767</w:t>
            </w:r>
          </w:p>
        </w:tc>
        <w:tc>
          <w:tcPr>
            <w:tcW w:w="1644" w:type="dxa"/>
            <w:vAlign w:val="center"/>
          </w:tcPr>
          <w:p w14:paraId="4AEAF862" w14:textId="77777777" w:rsidR="00EB3DCB" w:rsidRPr="00EB3DCB" w:rsidRDefault="00EB3DCB" w:rsidP="00EB3DCB">
            <w:pPr>
              <w:spacing w:after="0" w:line="240" w:lineRule="auto"/>
              <w:ind w:left="118" w:right="107"/>
              <w:jc w:val="right"/>
              <w:rPr>
                <w:color w:val="000000" w:themeColor="text1"/>
                <w:lang w:val="en-US"/>
              </w:rPr>
            </w:pPr>
          </w:p>
        </w:tc>
        <w:tc>
          <w:tcPr>
            <w:tcW w:w="1147" w:type="dxa"/>
          </w:tcPr>
          <w:p w14:paraId="3347923B" w14:textId="77777777" w:rsidR="00EB3DCB" w:rsidRPr="00EB3DCB" w:rsidRDefault="00EB3DCB" w:rsidP="00EB3DCB">
            <w:pPr>
              <w:spacing w:after="0" w:line="240" w:lineRule="auto"/>
              <w:ind w:left="118" w:right="114"/>
              <w:jc w:val="right"/>
              <w:rPr>
                <w:color w:val="000000" w:themeColor="text1"/>
                <w:lang w:val="en-US"/>
              </w:rPr>
            </w:pPr>
            <w:r w:rsidRPr="00EB3DCB">
              <w:rPr>
                <w:color w:val="000000" w:themeColor="text1"/>
                <w:lang w:val="en-US"/>
              </w:rPr>
              <w:t>1.900</w:t>
            </w:r>
          </w:p>
        </w:tc>
        <w:tc>
          <w:tcPr>
            <w:tcW w:w="1147" w:type="dxa"/>
          </w:tcPr>
          <w:p w14:paraId="5BC1B7F9" w14:textId="77777777" w:rsidR="00EB3DCB" w:rsidRPr="00EB3DCB" w:rsidRDefault="00EB3DCB" w:rsidP="00EB3DCB">
            <w:pPr>
              <w:spacing w:after="0" w:line="240" w:lineRule="auto"/>
              <w:ind w:left="118" w:right="114"/>
              <w:jc w:val="right"/>
              <w:rPr>
                <w:color w:val="000000" w:themeColor="text1"/>
                <w:lang w:val="en-US"/>
              </w:rPr>
            </w:pPr>
            <w:r w:rsidRPr="00EB3DCB">
              <w:rPr>
                <w:color w:val="000000" w:themeColor="text1"/>
                <w:lang w:val="en-US"/>
              </w:rPr>
              <w:t>.130</w:t>
            </w:r>
          </w:p>
        </w:tc>
      </w:tr>
      <w:tr w:rsidR="00EB3DCB" w:rsidRPr="00EB3DCB" w14:paraId="76419115" w14:textId="77777777" w:rsidTr="003318AA">
        <w:trPr>
          <w:cantSplit/>
          <w:trHeight w:val="147"/>
        </w:trPr>
        <w:tc>
          <w:tcPr>
            <w:tcW w:w="820" w:type="dxa"/>
            <w:vMerge/>
          </w:tcPr>
          <w:p w14:paraId="0B5311A6" w14:textId="77777777" w:rsidR="00EB3DCB" w:rsidRPr="00EB3DCB" w:rsidRDefault="00EB3DCB" w:rsidP="00EB3DCB">
            <w:pPr>
              <w:spacing w:after="0" w:line="240" w:lineRule="auto"/>
              <w:jc w:val="both"/>
              <w:rPr>
                <w:color w:val="000000" w:themeColor="text1"/>
                <w:lang w:val="en-US"/>
              </w:rPr>
            </w:pPr>
          </w:p>
        </w:tc>
        <w:tc>
          <w:tcPr>
            <w:tcW w:w="1319" w:type="dxa"/>
          </w:tcPr>
          <w:p w14:paraId="0CD8CB0D" w14:textId="77777777" w:rsidR="00EB3DCB" w:rsidRPr="00EB3DCB" w:rsidRDefault="00EB3DCB" w:rsidP="00EB3DCB">
            <w:pPr>
              <w:spacing w:after="0" w:line="240" w:lineRule="auto"/>
              <w:ind w:left="170"/>
              <w:jc w:val="center"/>
              <w:rPr>
                <w:color w:val="000000" w:themeColor="text1"/>
                <w:vertAlign w:val="subscript"/>
                <w:lang w:val="en-US"/>
              </w:rPr>
            </w:pPr>
            <w:r w:rsidRPr="00EB3DCB">
              <w:rPr>
                <w:color w:val="000000" w:themeColor="text1"/>
                <w:lang w:val="en-US"/>
              </w:rPr>
              <w:t>X</w:t>
            </w:r>
            <w:r w:rsidRPr="00EB3DCB">
              <w:rPr>
                <w:color w:val="000000" w:themeColor="text1"/>
                <w:vertAlign w:val="subscript"/>
                <w:lang w:val="en-US"/>
              </w:rPr>
              <w:t>1</w:t>
            </w:r>
          </w:p>
        </w:tc>
        <w:tc>
          <w:tcPr>
            <w:tcW w:w="1490" w:type="dxa"/>
          </w:tcPr>
          <w:p w14:paraId="73F2589C" w14:textId="77777777" w:rsidR="00EB3DCB" w:rsidRPr="00EB3DCB" w:rsidRDefault="00EB3DCB" w:rsidP="00EB3DCB">
            <w:pPr>
              <w:spacing w:after="0" w:line="240" w:lineRule="auto"/>
              <w:ind w:left="118" w:right="226"/>
              <w:jc w:val="right"/>
              <w:rPr>
                <w:color w:val="000000" w:themeColor="text1"/>
                <w:lang w:val="en-US"/>
              </w:rPr>
            </w:pPr>
            <w:r w:rsidRPr="00EB3DCB">
              <w:rPr>
                <w:color w:val="000000" w:themeColor="text1"/>
                <w:lang w:val="en-US"/>
              </w:rPr>
              <w:t>-.115</w:t>
            </w:r>
          </w:p>
        </w:tc>
        <w:tc>
          <w:tcPr>
            <w:tcW w:w="1490" w:type="dxa"/>
          </w:tcPr>
          <w:p w14:paraId="333E3CED" w14:textId="77777777" w:rsidR="00EB3DCB" w:rsidRPr="00EB3DCB" w:rsidRDefault="00EB3DCB" w:rsidP="00EB3DCB">
            <w:pPr>
              <w:spacing w:after="0" w:line="240" w:lineRule="auto"/>
              <w:ind w:left="118" w:right="226"/>
              <w:jc w:val="right"/>
              <w:rPr>
                <w:color w:val="000000" w:themeColor="text1"/>
                <w:lang w:val="en-US"/>
              </w:rPr>
            </w:pPr>
            <w:r w:rsidRPr="00EB3DCB">
              <w:rPr>
                <w:color w:val="000000" w:themeColor="text1"/>
                <w:lang w:val="en-US"/>
              </w:rPr>
              <w:t>.081</w:t>
            </w:r>
          </w:p>
        </w:tc>
        <w:tc>
          <w:tcPr>
            <w:tcW w:w="1644" w:type="dxa"/>
          </w:tcPr>
          <w:p w14:paraId="75B42B6F" w14:textId="77777777" w:rsidR="00EB3DCB" w:rsidRPr="00EB3DCB" w:rsidRDefault="00EB3DCB" w:rsidP="00EB3DCB">
            <w:pPr>
              <w:spacing w:after="0" w:line="240" w:lineRule="auto"/>
              <w:ind w:left="118" w:right="107"/>
              <w:jc w:val="right"/>
              <w:rPr>
                <w:color w:val="000000" w:themeColor="text1"/>
                <w:lang w:val="en-US"/>
              </w:rPr>
            </w:pPr>
            <w:r w:rsidRPr="00EB3DCB">
              <w:rPr>
                <w:color w:val="000000" w:themeColor="text1"/>
                <w:lang w:val="en-US"/>
              </w:rPr>
              <w:t>-1.352</w:t>
            </w:r>
          </w:p>
        </w:tc>
        <w:tc>
          <w:tcPr>
            <w:tcW w:w="1147" w:type="dxa"/>
          </w:tcPr>
          <w:p w14:paraId="1BF32B46" w14:textId="77777777" w:rsidR="00EB3DCB" w:rsidRPr="00EB3DCB" w:rsidRDefault="00EB3DCB" w:rsidP="00EB3DCB">
            <w:pPr>
              <w:spacing w:after="0" w:line="240" w:lineRule="auto"/>
              <w:ind w:left="118" w:right="114"/>
              <w:jc w:val="right"/>
              <w:rPr>
                <w:color w:val="000000" w:themeColor="text1"/>
                <w:lang w:val="en-US"/>
              </w:rPr>
            </w:pPr>
            <w:r w:rsidRPr="00EB3DCB">
              <w:rPr>
                <w:color w:val="000000" w:themeColor="text1"/>
                <w:lang w:val="en-US"/>
              </w:rPr>
              <w:t>-1.413</w:t>
            </w:r>
          </w:p>
        </w:tc>
        <w:tc>
          <w:tcPr>
            <w:tcW w:w="1147" w:type="dxa"/>
          </w:tcPr>
          <w:p w14:paraId="5ACFF046" w14:textId="77777777" w:rsidR="00EB3DCB" w:rsidRPr="00EB3DCB" w:rsidRDefault="00EB3DCB" w:rsidP="00EB3DCB">
            <w:pPr>
              <w:spacing w:after="0" w:line="240" w:lineRule="auto"/>
              <w:ind w:left="118" w:right="114"/>
              <w:jc w:val="right"/>
              <w:rPr>
                <w:color w:val="000000" w:themeColor="text1"/>
                <w:lang w:val="en-US"/>
              </w:rPr>
            </w:pPr>
            <w:r w:rsidRPr="00EB3DCB">
              <w:rPr>
                <w:color w:val="000000" w:themeColor="text1"/>
                <w:lang w:val="en-US"/>
              </w:rPr>
              <w:t>.231</w:t>
            </w:r>
          </w:p>
        </w:tc>
      </w:tr>
      <w:tr w:rsidR="00EB3DCB" w:rsidRPr="00EB3DCB" w14:paraId="6C01465B" w14:textId="77777777" w:rsidTr="003318AA">
        <w:trPr>
          <w:cantSplit/>
          <w:trHeight w:val="147"/>
        </w:trPr>
        <w:tc>
          <w:tcPr>
            <w:tcW w:w="820" w:type="dxa"/>
            <w:vMerge/>
          </w:tcPr>
          <w:p w14:paraId="4C67C2CC" w14:textId="77777777" w:rsidR="00EB3DCB" w:rsidRPr="00EB3DCB" w:rsidRDefault="00EB3DCB" w:rsidP="00EB3DCB">
            <w:pPr>
              <w:spacing w:after="0" w:line="240" w:lineRule="auto"/>
              <w:jc w:val="both"/>
              <w:rPr>
                <w:color w:val="000000" w:themeColor="text1"/>
                <w:lang w:val="en-US"/>
              </w:rPr>
            </w:pPr>
          </w:p>
        </w:tc>
        <w:tc>
          <w:tcPr>
            <w:tcW w:w="1319" w:type="dxa"/>
          </w:tcPr>
          <w:p w14:paraId="43A8E2CD" w14:textId="77777777" w:rsidR="00EB3DCB" w:rsidRPr="00EB3DCB" w:rsidRDefault="00EB3DCB" w:rsidP="00EB3DCB">
            <w:pPr>
              <w:spacing w:after="0" w:line="240" w:lineRule="auto"/>
              <w:ind w:left="170"/>
              <w:jc w:val="center"/>
              <w:rPr>
                <w:color w:val="000000" w:themeColor="text1"/>
                <w:vertAlign w:val="subscript"/>
                <w:lang w:val="en-US"/>
              </w:rPr>
            </w:pPr>
            <w:r w:rsidRPr="00EB3DCB">
              <w:rPr>
                <w:color w:val="000000" w:themeColor="text1"/>
                <w:lang w:val="en-US"/>
              </w:rPr>
              <w:t>X</w:t>
            </w:r>
            <w:r w:rsidRPr="00EB3DCB">
              <w:rPr>
                <w:color w:val="000000" w:themeColor="text1"/>
                <w:vertAlign w:val="subscript"/>
                <w:lang w:val="en-US"/>
              </w:rPr>
              <w:t>2</w:t>
            </w:r>
          </w:p>
        </w:tc>
        <w:tc>
          <w:tcPr>
            <w:tcW w:w="1490" w:type="dxa"/>
          </w:tcPr>
          <w:p w14:paraId="4111B262" w14:textId="77777777" w:rsidR="00EB3DCB" w:rsidRPr="00EB3DCB" w:rsidRDefault="00EB3DCB" w:rsidP="00EB3DCB">
            <w:pPr>
              <w:spacing w:after="0" w:line="240" w:lineRule="auto"/>
              <w:ind w:left="118" w:right="226"/>
              <w:jc w:val="right"/>
              <w:rPr>
                <w:color w:val="000000" w:themeColor="text1"/>
                <w:lang w:val="en-US"/>
              </w:rPr>
            </w:pPr>
            <w:r w:rsidRPr="00EB3DCB">
              <w:rPr>
                <w:color w:val="000000" w:themeColor="text1"/>
                <w:lang w:val="en-US"/>
              </w:rPr>
              <w:t>-.452</w:t>
            </w:r>
          </w:p>
        </w:tc>
        <w:tc>
          <w:tcPr>
            <w:tcW w:w="1490" w:type="dxa"/>
          </w:tcPr>
          <w:p w14:paraId="5EF52042" w14:textId="77777777" w:rsidR="00EB3DCB" w:rsidRPr="00EB3DCB" w:rsidRDefault="00EB3DCB" w:rsidP="00EB3DCB">
            <w:pPr>
              <w:spacing w:after="0" w:line="240" w:lineRule="auto"/>
              <w:ind w:left="118" w:right="226"/>
              <w:jc w:val="right"/>
              <w:rPr>
                <w:color w:val="000000" w:themeColor="text1"/>
                <w:lang w:val="en-US"/>
              </w:rPr>
            </w:pPr>
            <w:r w:rsidRPr="00EB3DCB">
              <w:rPr>
                <w:color w:val="000000" w:themeColor="text1"/>
                <w:lang w:val="en-US"/>
              </w:rPr>
              <w:t>.322</w:t>
            </w:r>
          </w:p>
        </w:tc>
        <w:tc>
          <w:tcPr>
            <w:tcW w:w="1644" w:type="dxa"/>
          </w:tcPr>
          <w:p w14:paraId="7CE368D4" w14:textId="77777777" w:rsidR="00EB3DCB" w:rsidRPr="00EB3DCB" w:rsidRDefault="00EB3DCB" w:rsidP="00EB3DCB">
            <w:pPr>
              <w:spacing w:after="0" w:line="240" w:lineRule="auto"/>
              <w:ind w:left="118" w:right="107"/>
              <w:jc w:val="right"/>
              <w:rPr>
                <w:color w:val="000000" w:themeColor="text1"/>
                <w:lang w:val="en-US"/>
              </w:rPr>
            </w:pPr>
            <w:r w:rsidRPr="00EB3DCB">
              <w:rPr>
                <w:color w:val="000000" w:themeColor="text1"/>
                <w:lang w:val="en-US"/>
              </w:rPr>
              <w:t>-1.961</w:t>
            </w:r>
          </w:p>
        </w:tc>
        <w:tc>
          <w:tcPr>
            <w:tcW w:w="1147" w:type="dxa"/>
          </w:tcPr>
          <w:p w14:paraId="3B397996" w14:textId="77777777" w:rsidR="00EB3DCB" w:rsidRPr="00EB3DCB" w:rsidRDefault="00EB3DCB" w:rsidP="00EB3DCB">
            <w:pPr>
              <w:spacing w:after="0" w:line="240" w:lineRule="auto"/>
              <w:ind w:left="118" w:right="114"/>
              <w:jc w:val="right"/>
              <w:rPr>
                <w:color w:val="000000" w:themeColor="text1"/>
                <w:lang w:val="en-US"/>
              </w:rPr>
            </w:pPr>
            <w:r w:rsidRPr="00EB3DCB">
              <w:rPr>
                <w:color w:val="000000" w:themeColor="text1"/>
                <w:lang w:val="en-US"/>
              </w:rPr>
              <w:t>-1.404</w:t>
            </w:r>
          </w:p>
        </w:tc>
        <w:tc>
          <w:tcPr>
            <w:tcW w:w="1147" w:type="dxa"/>
          </w:tcPr>
          <w:p w14:paraId="26FA50FA" w14:textId="77777777" w:rsidR="00EB3DCB" w:rsidRPr="00EB3DCB" w:rsidRDefault="00EB3DCB" w:rsidP="00EB3DCB">
            <w:pPr>
              <w:spacing w:after="0" w:line="240" w:lineRule="auto"/>
              <w:ind w:left="118" w:right="114"/>
              <w:jc w:val="right"/>
              <w:rPr>
                <w:color w:val="000000" w:themeColor="text1"/>
                <w:lang w:val="en-US"/>
              </w:rPr>
            </w:pPr>
            <w:r w:rsidRPr="00EB3DCB">
              <w:rPr>
                <w:color w:val="000000" w:themeColor="text1"/>
                <w:lang w:val="en-US"/>
              </w:rPr>
              <w:t>.233</w:t>
            </w:r>
          </w:p>
        </w:tc>
      </w:tr>
      <w:tr w:rsidR="00EB3DCB" w:rsidRPr="00EB3DCB" w14:paraId="29EDD3FA" w14:textId="77777777" w:rsidTr="003318AA">
        <w:trPr>
          <w:cantSplit/>
          <w:trHeight w:val="147"/>
        </w:trPr>
        <w:tc>
          <w:tcPr>
            <w:tcW w:w="820" w:type="dxa"/>
            <w:vMerge/>
          </w:tcPr>
          <w:p w14:paraId="07F51277" w14:textId="77777777" w:rsidR="00EB3DCB" w:rsidRPr="00EB3DCB" w:rsidRDefault="00EB3DCB" w:rsidP="00EB3DCB">
            <w:pPr>
              <w:spacing w:after="0" w:line="240" w:lineRule="auto"/>
              <w:jc w:val="both"/>
              <w:rPr>
                <w:color w:val="000000" w:themeColor="text1"/>
                <w:lang w:val="en-US"/>
              </w:rPr>
            </w:pPr>
          </w:p>
        </w:tc>
        <w:tc>
          <w:tcPr>
            <w:tcW w:w="1319" w:type="dxa"/>
          </w:tcPr>
          <w:p w14:paraId="5FD20704" w14:textId="77777777" w:rsidR="00EB3DCB" w:rsidRPr="00EB3DCB" w:rsidRDefault="00EB3DCB" w:rsidP="00EB3DCB">
            <w:pPr>
              <w:spacing w:after="0" w:line="240" w:lineRule="auto"/>
              <w:ind w:left="170"/>
              <w:jc w:val="center"/>
              <w:rPr>
                <w:color w:val="000000" w:themeColor="text1"/>
                <w:vertAlign w:val="subscript"/>
                <w:lang w:val="en-US"/>
              </w:rPr>
            </w:pPr>
            <w:r w:rsidRPr="00EB3DCB">
              <w:rPr>
                <w:color w:val="000000" w:themeColor="text1"/>
                <w:lang w:val="en-US"/>
              </w:rPr>
              <w:t>X</w:t>
            </w:r>
            <w:r w:rsidRPr="00EB3DCB">
              <w:rPr>
                <w:color w:val="000000" w:themeColor="text1"/>
                <w:vertAlign w:val="subscript"/>
                <w:lang w:val="en-US"/>
              </w:rPr>
              <w:t>3</w:t>
            </w:r>
          </w:p>
        </w:tc>
        <w:tc>
          <w:tcPr>
            <w:tcW w:w="1490" w:type="dxa"/>
          </w:tcPr>
          <w:p w14:paraId="17640F9A" w14:textId="77777777" w:rsidR="00EB3DCB" w:rsidRPr="00EB3DCB" w:rsidRDefault="00EB3DCB" w:rsidP="00EB3DCB">
            <w:pPr>
              <w:spacing w:after="0" w:line="240" w:lineRule="auto"/>
              <w:ind w:left="118" w:right="226"/>
              <w:jc w:val="right"/>
              <w:rPr>
                <w:color w:val="000000" w:themeColor="text1"/>
                <w:lang w:val="en-US"/>
              </w:rPr>
            </w:pPr>
            <w:r w:rsidRPr="00EB3DCB">
              <w:rPr>
                <w:color w:val="000000" w:themeColor="text1"/>
                <w:lang w:val="en-US"/>
              </w:rPr>
              <w:t>.024</w:t>
            </w:r>
          </w:p>
        </w:tc>
        <w:tc>
          <w:tcPr>
            <w:tcW w:w="1490" w:type="dxa"/>
          </w:tcPr>
          <w:p w14:paraId="74B7570A" w14:textId="77777777" w:rsidR="00EB3DCB" w:rsidRPr="00EB3DCB" w:rsidRDefault="00EB3DCB" w:rsidP="00EB3DCB">
            <w:pPr>
              <w:spacing w:after="0" w:line="240" w:lineRule="auto"/>
              <w:ind w:left="118" w:right="226"/>
              <w:jc w:val="right"/>
              <w:rPr>
                <w:color w:val="000000" w:themeColor="text1"/>
                <w:lang w:val="en-US"/>
              </w:rPr>
            </w:pPr>
            <w:r w:rsidRPr="00EB3DCB">
              <w:rPr>
                <w:color w:val="000000" w:themeColor="text1"/>
                <w:lang w:val="en-US"/>
              </w:rPr>
              <w:t>.117</w:t>
            </w:r>
          </w:p>
        </w:tc>
        <w:tc>
          <w:tcPr>
            <w:tcW w:w="1644" w:type="dxa"/>
          </w:tcPr>
          <w:p w14:paraId="38932181" w14:textId="77777777" w:rsidR="00EB3DCB" w:rsidRPr="00EB3DCB" w:rsidRDefault="00EB3DCB" w:rsidP="00EB3DCB">
            <w:pPr>
              <w:spacing w:after="0" w:line="240" w:lineRule="auto"/>
              <w:ind w:left="118" w:right="107"/>
              <w:jc w:val="right"/>
              <w:rPr>
                <w:color w:val="000000" w:themeColor="text1"/>
                <w:lang w:val="en-US"/>
              </w:rPr>
            </w:pPr>
            <w:r w:rsidRPr="00EB3DCB">
              <w:rPr>
                <w:color w:val="000000" w:themeColor="text1"/>
                <w:lang w:val="en-US"/>
              </w:rPr>
              <w:t>.080</w:t>
            </w:r>
          </w:p>
        </w:tc>
        <w:tc>
          <w:tcPr>
            <w:tcW w:w="1147" w:type="dxa"/>
          </w:tcPr>
          <w:p w14:paraId="7F7929E7" w14:textId="77777777" w:rsidR="00EB3DCB" w:rsidRPr="00EB3DCB" w:rsidRDefault="00EB3DCB" w:rsidP="00EB3DCB">
            <w:pPr>
              <w:spacing w:after="0" w:line="240" w:lineRule="auto"/>
              <w:ind w:left="118" w:right="114"/>
              <w:jc w:val="right"/>
              <w:rPr>
                <w:color w:val="000000" w:themeColor="text1"/>
                <w:lang w:val="en-US"/>
              </w:rPr>
            </w:pPr>
            <w:r w:rsidRPr="00EB3DCB">
              <w:rPr>
                <w:color w:val="000000" w:themeColor="text1"/>
                <w:lang w:val="en-US"/>
              </w:rPr>
              <w:t>.207</w:t>
            </w:r>
          </w:p>
        </w:tc>
        <w:tc>
          <w:tcPr>
            <w:tcW w:w="1147" w:type="dxa"/>
          </w:tcPr>
          <w:p w14:paraId="66496D2A" w14:textId="77777777" w:rsidR="00EB3DCB" w:rsidRPr="00EB3DCB" w:rsidRDefault="00EB3DCB" w:rsidP="00EB3DCB">
            <w:pPr>
              <w:spacing w:after="0" w:line="240" w:lineRule="auto"/>
              <w:ind w:left="118" w:right="114"/>
              <w:jc w:val="right"/>
              <w:rPr>
                <w:color w:val="000000" w:themeColor="text1"/>
                <w:lang w:val="en-US"/>
              </w:rPr>
            </w:pPr>
            <w:r w:rsidRPr="00EB3DCB">
              <w:rPr>
                <w:color w:val="000000" w:themeColor="text1"/>
                <w:lang w:val="en-US"/>
              </w:rPr>
              <w:t>.846</w:t>
            </w:r>
          </w:p>
        </w:tc>
      </w:tr>
      <w:tr w:rsidR="00EB3DCB" w:rsidRPr="00EB3DCB" w14:paraId="0B0C838D" w14:textId="77777777" w:rsidTr="003318AA">
        <w:trPr>
          <w:cantSplit/>
          <w:trHeight w:val="147"/>
        </w:trPr>
        <w:tc>
          <w:tcPr>
            <w:tcW w:w="820" w:type="dxa"/>
            <w:vMerge/>
          </w:tcPr>
          <w:p w14:paraId="23E9F0FE" w14:textId="77777777" w:rsidR="00EB3DCB" w:rsidRPr="00EB3DCB" w:rsidRDefault="00EB3DCB" w:rsidP="00EB3DCB">
            <w:pPr>
              <w:spacing w:after="0" w:line="240" w:lineRule="auto"/>
              <w:jc w:val="both"/>
              <w:rPr>
                <w:color w:val="000000" w:themeColor="text1"/>
                <w:lang w:val="en-US"/>
              </w:rPr>
            </w:pPr>
          </w:p>
        </w:tc>
        <w:tc>
          <w:tcPr>
            <w:tcW w:w="1319" w:type="dxa"/>
          </w:tcPr>
          <w:p w14:paraId="60CF0B93" w14:textId="77777777" w:rsidR="00EB3DCB" w:rsidRPr="00EB3DCB" w:rsidRDefault="00EB3DCB" w:rsidP="00EB3DCB">
            <w:pPr>
              <w:spacing w:after="0" w:line="240" w:lineRule="auto"/>
              <w:ind w:left="170"/>
              <w:jc w:val="center"/>
              <w:rPr>
                <w:color w:val="000000" w:themeColor="text1"/>
                <w:vertAlign w:val="subscript"/>
                <w:lang w:val="en-US"/>
              </w:rPr>
            </w:pPr>
            <w:r w:rsidRPr="00EB3DCB">
              <w:rPr>
                <w:color w:val="000000" w:themeColor="text1"/>
                <w:lang w:val="en-US"/>
              </w:rPr>
              <w:t>X</w:t>
            </w:r>
            <w:r w:rsidRPr="00EB3DCB">
              <w:rPr>
                <w:color w:val="000000" w:themeColor="text1"/>
                <w:vertAlign w:val="subscript"/>
                <w:lang w:val="en-US"/>
              </w:rPr>
              <w:t>4</w:t>
            </w:r>
          </w:p>
        </w:tc>
        <w:tc>
          <w:tcPr>
            <w:tcW w:w="1490" w:type="dxa"/>
          </w:tcPr>
          <w:p w14:paraId="01FBF54D" w14:textId="77777777" w:rsidR="00EB3DCB" w:rsidRPr="00EB3DCB" w:rsidRDefault="00EB3DCB" w:rsidP="00EB3DCB">
            <w:pPr>
              <w:spacing w:after="0" w:line="240" w:lineRule="auto"/>
              <w:ind w:left="118" w:right="226"/>
              <w:jc w:val="right"/>
              <w:rPr>
                <w:color w:val="000000" w:themeColor="text1"/>
                <w:lang w:val="en-US"/>
              </w:rPr>
            </w:pPr>
            <w:r w:rsidRPr="00EB3DCB">
              <w:rPr>
                <w:color w:val="000000" w:themeColor="text1"/>
                <w:lang w:val="en-US"/>
              </w:rPr>
              <w:t>.053</w:t>
            </w:r>
          </w:p>
        </w:tc>
        <w:tc>
          <w:tcPr>
            <w:tcW w:w="1490" w:type="dxa"/>
          </w:tcPr>
          <w:p w14:paraId="39FE37DB" w14:textId="77777777" w:rsidR="00EB3DCB" w:rsidRPr="00EB3DCB" w:rsidRDefault="00EB3DCB" w:rsidP="00EB3DCB">
            <w:pPr>
              <w:spacing w:after="0" w:line="240" w:lineRule="auto"/>
              <w:ind w:left="118" w:right="226"/>
              <w:jc w:val="right"/>
              <w:rPr>
                <w:color w:val="000000" w:themeColor="text1"/>
                <w:lang w:val="en-US"/>
              </w:rPr>
            </w:pPr>
            <w:r w:rsidRPr="00EB3DCB">
              <w:rPr>
                <w:color w:val="000000" w:themeColor="text1"/>
                <w:lang w:val="en-US"/>
              </w:rPr>
              <w:t>.024</w:t>
            </w:r>
          </w:p>
        </w:tc>
        <w:tc>
          <w:tcPr>
            <w:tcW w:w="1644" w:type="dxa"/>
          </w:tcPr>
          <w:p w14:paraId="68B19ED4" w14:textId="77777777" w:rsidR="00EB3DCB" w:rsidRPr="00EB3DCB" w:rsidRDefault="00EB3DCB" w:rsidP="00EB3DCB">
            <w:pPr>
              <w:spacing w:after="0" w:line="240" w:lineRule="auto"/>
              <w:ind w:left="118" w:right="107"/>
              <w:jc w:val="right"/>
              <w:rPr>
                <w:color w:val="000000" w:themeColor="text1"/>
                <w:lang w:val="en-US"/>
              </w:rPr>
            </w:pPr>
            <w:r w:rsidRPr="00EB3DCB">
              <w:rPr>
                <w:color w:val="000000" w:themeColor="text1"/>
                <w:lang w:val="en-US"/>
              </w:rPr>
              <w:t>3.203</w:t>
            </w:r>
          </w:p>
        </w:tc>
        <w:tc>
          <w:tcPr>
            <w:tcW w:w="1147" w:type="dxa"/>
          </w:tcPr>
          <w:p w14:paraId="01272CCC" w14:textId="77777777" w:rsidR="00EB3DCB" w:rsidRPr="00EB3DCB" w:rsidRDefault="00EB3DCB" w:rsidP="00EB3DCB">
            <w:pPr>
              <w:spacing w:after="0" w:line="240" w:lineRule="auto"/>
              <w:ind w:left="118" w:right="114"/>
              <w:jc w:val="right"/>
              <w:rPr>
                <w:color w:val="000000" w:themeColor="text1"/>
                <w:lang w:val="en-US"/>
              </w:rPr>
            </w:pPr>
            <w:r w:rsidRPr="00EB3DCB">
              <w:rPr>
                <w:color w:val="000000" w:themeColor="text1"/>
                <w:lang w:val="en-US"/>
              </w:rPr>
              <w:t>2.207</w:t>
            </w:r>
          </w:p>
        </w:tc>
        <w:tc>
          <w:tcPr>
            <w:tcW w:w="1147" w:type="dxa"/>
          </w:tcPr>
          <w:p w14:paraId="56EE324C" w14:textId="77777777" w:rsidR="00EB3DCB" w:rsidRPr="00EB3DCB" w:rsidRDefault="00EB3DCB" w:rsidP="00EB3DCB">
            <w:pPr>
              <w:spacing w:after="0" w:line="240" w:lineRule="auto"/>
              <w:ind w:left="118" w:right="114"/>
              <w:jc w:val="right"/>
              <w:rPr>
                <w:color w:val="000000" w:themeColor="text1"/>
                <w:lang w:val="en-US"/>
              </w:rPr>
            </w:pPr>
            <w:r w:rsidRPr="00EB3DCB">
              <w:rPr>
                <w:color w:val="000000" w:themeColor="text1"/>
                <w:lang w:val="en-US"/>
              </w:rPr>
              <w:t>.092</w:t>
            </w:r>
          </w:p>
        </w:tc>
      </w:tr>
      <w:tr w:rsidR="00EB3DCB" w:rsidRPr="00EB3DCB" w14:paraId="10F51614" w14:textId="77777777" w:rsidTr="003318AA">
        <w:trPr>
          <w:cantSplit/>
          <w:trHeight w:val="147"/>
        </w:trPr>
        <w:tc>
          <w:tcPr>
            <w:tcW w:w="820" w:type="dxa"/>
            <w:vMerge/>
          </w:tcPr>
          <w:p w14:paraId="7A1F736A" w14:textId="77777777" w:rsidR="00EB3DCB" w:rsidRPr="00EB3DCB" w:rsidRDefault="00EB3DCB" w:rsidP="00EB3DCB">
            <w:pPr>
              <w:spacing w:after="0" w:line="240" w:lineRule="auto"/>
              <w:jc w:val="both"/>
              <w:rPr>
                <w:color w:val="000000" w:themeColor="text1"/>
                <w:lang w:val="en-US"/>
              </w:rPr>
            </w:pPr>
          </w:p>
        </w:tc>
        <w:tc>
          <w:tcPr>
            <w:tcW w:w="1319" w:type="dxa"/>
          </w:tcPr>
          <w:p w14:paraId="239B9661" w14:textId="77777777" w:rsidR="00EB3DCB" w:rsidRPr="00EB3DCB" w:rsidRDefault="00EB3DCB" w:rsidP="00EB3DCB">
            <w:pPr>
              <w:spacing w:after="0" w:line="240" w:lineRule="auto"/>
              <w:ind w:left="170"/>
              <w:jc w:val="center"/>
              <w:rPr>
                <w:color w:val="000000" w:themeColor="text1"/>
                <w:vertAlign w:val="subscript"/>
                <w:lang w:val="en-US"/>
              </w:rPr>
            </w:pPr>
            <w:r w:rsidRPr="00EB3DCB">
              <w:rPr>
                <w:color w:val="000000" w:themeColor="text1"/>
                <w:lang w:val="en-US"/>
              </w:rPr>
              <w:t>X</w:t>
            </w:r>
            <w:r w:rsidRPr="00EB3DCB">
              <w:rPr>
                <w:color w:val="000000" w:themeColor="text1"/>
                <w:vertAlign w:val="subscript"/>
                <w:lang w:val="en-US"/>
              </w:rPr>
              <w:t>5</w:t>
            </w:r>
          </w:p>
        </w:tc>
        <w:tc>
          <w:tcPr>
            <w:tcW w:w="1490" w:type="dxa"/>
          </w:tcPr>
          <w:p w14:paraId="22E4DE3B" w14:textId="77777777" w:rsidR="00EB3DCB" w:rsidRPr="00EB3DCB" w:rsidRDefault="00EB3DCB" w:rsidP="00EB3DCB">
            <w:pPr>
              <w:spacing w:after="0" w:line="240" w:lineRule="auto"/>
              <w:ind w:left="118" w:right="226"/>
              <w:jc w:val="right"/>
              <w:rPr>
                <w:color w:val="000000" w:themeColor="text1"/>
                <w:lang w:val="en-US"/>
              </w:rPr>
            </w:pPr>
            <w:r w:rsidRPr="00EB3DCB">
              <w:rPr>
                <w:color w:val="000000" w:themeColor="text1"/>
                <w:lang w:val="en-US"/>
              </w:rPr>
              <w:t>-.037</w:t>
            </w:r>
          </w:p>
        </w:tc>
        <w:tc>
          <w:tcPr>
            <w:tcW w:w="1490" w:type="dxa"/>
          </w:tcPr>
          <w:p w14:paraId="412E52DA" w14:textId="77777777" w:rsidR="00EB3DCB" w:rsidRPr="00EB3DCB" w:rsidRDefault="00EB3DCB" w:rsidP="00EB3DCB">
            <w:pPr>
              <w:spacing w:after="0" w:line="240" w:lineRule="auto"/>
              <w:ind w:left="118" w:right="226"/>
              <w:jc w:val="right"/>
              <w:rPr>
                <w:color w:val="000000" w:themeColor="text1"/>
                <w:lang w:val="en-US"/>
              </w:rPr>
            </w:pPr>
            <w:r w:rsidRPr="00EB3DCB">
              <w:rPr>
                <w:color w:val="000000" w:themeColor="text1"/>
                <w:lang w:val="en-US"/>
              </w:rPr>
              <w:t>.027</w:t>
            </w:r>
          </w:p>
        </w:tc>
        <w:tc>
          <w:tcPr>
            <w:tcW w:w="1644" w:type="dxa"/>
          </w:tcPr>
          <w:p w14:paraId="292D51BC" w14:textId="77777777" w:rsidR="00EB3DCB" w:rsidRPr="00EB3DCB" w:rsidRDefault="00EB3DCB" w:rsidP="00EB3DCB">
            <w:pPr>
              <w:spacing w:after="0" w:line="240" w:lineRule="auto"/>
              <w:ind w:left="118" w:right="107"/>
              <w:jc w:val="right"/>
              <w:rPr>
                <w:color w:val="000000" w:themeColor="text1"/>
                <w:lang w:val="en-US"/>
              </w:rPr>
            </w:pPr>
            <w:r w:rsidRPr="00EB3DCB">
              <w:rPr>
                <w:color w:val="000000" w:themeColor="text1"/>
                <w:lang w:val="en-US"/>
              </w:rPr>
              <w:t>-.611</w:t>
            </w:r>
          </w:p>
        </w:tc>
        <w:tc>
          <w:tcPr>
            <w:tcW w:w="1147" w:type="dxa"/>
          </w:tcPr>
          <w:p w14:paraId="4AA55949" w14:textId="77777777" w:rsidR="00EB3DCB" w:rsidRPr="00EB3DCB" w:rsidRDefault="00EB3DCB" w:rsidP="00EB3DCB">
            <w:pPr>
              <w:spacing w:after="0" w:line="240" w:lineRule="auto"/>
              <w:ind w:left="118" w:right="114"/>
              <w:jc w:val="right"/>
              <w:rPr>
                <w:color w:val="000000" w:themeColor="text1"/>
                <w:lang w:val="en-US"/>
              </w:rPr>
            </w:pPr>
            <w:r w:rsidRPr="00EB3DCB">
              <w:rPr>
                <w:color w:val="000000" w:themeColor="text1"/>
                <w:lang w:val="en-US"/>
              </w:rPr>
              <w:t>-1.386</w:t>
            </w:r>
          </w:p>
        </w:tc>
        <w:tc>
          <w:tcPr>
            <w:tcW w:w="1147" w:type="dxa"/>
          </w:tcPr>
          <w:p w14:paraId="445F2401" w14:textId="77777777" w:rsidR="00EB3DCB" w:rsidRPr="00EB3DCB" w:rsidRDefault="00EB3DCB" w:rsidP="00EB3DCB">
            <w:pPr>
              <w:spacing w:after="0" w:line="240" w:lineRule="auto"/>
              <w:ind w:left="118" w:right="114"/>
              <w:jc w:val="right"/>
              <w:rPr>
                <w:color w:val="000000" w:themeColor="text1"/>
                <w:lang w:val="en-US"/>
              </w:rPr>
            </w:pPr>
            <w:r w:rsidRPr="00EB3DCB">
              <w:rPr>
                <w:color w:val="000000" w:themeColor="text1"/>
                <w:lang w:val="en-US"/>
              </w:rPr>
              <w:t>.238</w:t>
            </w:r>
          </w:p>
        </w:tc>
      </w:tr>
      <w:tr w:rsidR="00EB3DCB" w:rsidRPr="00EB3DCB" w14:paraId="71D824F7" w14:textId="77777777" w:rsidTr="003318AA">
        <w:trPr>
          <w:cantSplit/>
          <w:trHeight w:val="420"/>
        </w:trPr>
        <w:tc>
          <w:tcPr>
            <w:tcW w:w="9060" w:type="dxa"/>
            <w:gridSpan w:val="7"/>
          </w:tcPr>
          <w:p w14:paraId="255CBD55" w14:textId="77777777" w:rsidR="00EB3DCB" w:rsidRPr="00EB3DCB" w:rsidRDefault="00EB3DCB" w:rsidP="00EB3DCB">
            <w:pPr>
              <w:spacing w:after="0" w:line="240" w:lineRule="auto"/>
              <w:jc w:val="both"/>
              <w:rPr>
                <w:color w:val="000000" w:themeColor="text1"/>
                <w:lang w:val="en-US"/>
              </w:rPr>
            </w:pPr>
            <w:r w:rsidRPr="00EB3DCB">
              <w:rPr>
                <w:color w:val="000000" w:themeColor="text1"/>
                <w:lang w:val="en-US"/>
              </w:rPr>
              <w:t>a. Dependent Variable: Abs_RES</w:t>
            </w:r>
          </w:p>
        </w:tc>
      </w:tr>
    </w:tbl>
    <w:p w14:paraId="12679CDE" w14:textId="77777777" w:rsidR="00C6661A" w:rsidRDefault="00C6661A" w:rsidP="00C6661A">
      <w:pPr>
        <w:spacing w:after="0" w:line="240" w:lineRule="auto"/>
        <w:jc w:val="both"/>
        <w:rPr>
          <w:color w:val="000000" w:themeColor="text1"/>
          <w:lang w:val="en-US"/>
        </w:rPr>
      </w:pPr>
    </w:p>
    <w:p w14:paraId="39BFC174" w14:textId="77777777" w:rsidR="00EB3DCB" w:rsidRPr="00EB3DCB" w:rsidRDefault="00EB3DCB" w:rsidP="00C6661A">
      <w:pPr>
        <w:spacing w:after="0" w:line="240" w:lineRule="auto"/>
        <w:jc w:val="both"/>
        <w:rPr>
          <w:color w:val="000000" w:themeColor="text1"/>
          <w:lang w:val="id-ID"/>
        </w:rPr>
      </w:pPr>
      <w:r w:rsidRPr="00EB3DCB">
        <w:rPr>
          <w:color w:val="000000" w:themeColor="text1"/>
          <w:lang w:val="id-ID"/>
        </w:rPr>
        <w:t>Uji heteroskedastisitas dilakukan menggunakan metode Glejser dengan meregresikan nilai absolut residual (Abs_RES) terhadap variabel independen. Hasil pengujian menunjukkan bahwa seluruh variabel, yaitu X</w:t>
      </w:r>
      <w:r w:rsidRPr="00EB3DCB">
        <w:rPr>
          <w:color w:val="000000" w:themeColor="text1"/>
          <w:vertAlign w:val="subscript"/>
          <w:lang w:val="id-ID"/>
        </w:rPr>
        <w:t>1</w:t>
      </w:r>
      <w:r w:rsidRPr="00EB3DCB">
        <w:rPr>
          <w:color w:val="000000" w:themeColor="text1"/>
          <w:lang w:val="id-ID"/>
        </w:rPr>
        <w:t xml:space="preserve"> (Sig. 0.231), X</w:t>
      </w:r>
      <w:r w:rsidRPr="00EB3DCB">
        <w:rPr>
          <w:color w:val="000000" w:themeColor="text1"/>
          <w:vertAlign w:val="subscript"/>
          <w:lang w:val="id-ID"/>
        </w:rPr>
        <w:t>2</w:t>
      </w:r>
      <w:r w:rsidRPr="00EB3DCB">
        <w:rPr>
          <w:color w:val="000000" w:themeColor="text1"/>
          <w:lang w:val="id-ID"/>
        </w:rPr>
        <w:t xml:space="preserve"> (Sig. 0.233), X</w:t>
      </w:r>
      <w:r w:rsidRPr="00EB3DCB">
        <w:rPr>
          <w:color w:val="000000" w:themeColor="text1"/>
          <w:vertAlign w:val="subscript"/>
          <w:lang w:val="id-ID"/>
        </w:rPr>
        <w:t>3</w:t>
      </w:r>
      <w:r w:rsidRPr="00EB3DCB">
        <w:rPr>
          <w:color w:val="000000" w:themeColor="text1"/>
          <w:lang w:val="id-ID"/>
        </w:rPr>
        <w:t xml:space="preserve"> (Sig. 0.846), X4 (Sig. 0.092), dan X</w:t>
      </w:r>
      <w:r w:rsidRPr="00EB3DCB">
        <w:rPr>
          <w:color w:val="000000" w:themeColor="text1"/>
          <w:vertAlign w:val="subscript"/>
          <w:lang w:val="id-ID"/>
        </w:rPr>
        <w:t>5</w:t>
      </w:r>
      <w:r w:rsidRPr="00EB3DCB">
        <w:rPr>
          <w:color w:val="000000" w:themeColor="text1"/>
          <w:lang w:val="id-ID"/>
        </w:rPr>
        <w:t xml:space="preserve"> (Sig. 0.238) memiliki nilai signifikansi &gt; 0.05. Hal ini menunjukkan bahwa tidak terdapat pengaruh signifikan dari masing-masing variabel terhadap nilai absolut residual, sehingga dapat disimpulkan bahwa model regresi tidak mengalami heteroskedastisitas. Asumsi homoskedastisitas terpenuhi dan model regresi layak digunakan.</w:t>
      </w:r>
    </w:p>
    <w:p w14:paraId="2BF9A866" w14:textId="77777777" w:rsidR="00C6661A" w:rsidRDefault="00C6661A" w:rsidP="00C6661A">
      <w:pPr>
        <w:spacing w:after="0" w:line="240" w:lineRule="auto"/>
        <w:contextualSpacing/>
        <w:jc w:val="both"/>
        <w:rPr>
          <w:color w:val="000000" w:themeColor="text1"/>
          <w:lang w:val="en-US"/>
        </w:rPr>
      </w:pPr>
    </w:p>
    <w:p w14:paraId="05FC20DC" w14:textId="77777777" w:rsidR="00C6661A" w:rsidRPr="00C6661A" w:rsidRDefault="00C6661A" w:rsidP="00C6661A">
      <w:pPr>
        <w:spacing w:after="0" w:line="240" w:lineRule="auto"/>
        <w:contextualSpacing/>
        <w:jc w:val="both"/>
        <w:rPr>
          <w:b/>
          <w:color w:val="000000" w:themeColor="text1"/>
          <w:lang w:val="en-US"/>
        </w:rPr>
      </w:pPr>
      <w:r w:rsidRPr="00C6661A">
        <w:rPr>
          <w:b/>
          <w:color w:val="000000" w:themeColor="text1"/>
          <w:lang w:val="en-US"/>
        </w:rPr>
        <w:t>Uji Multikolinearitas</w:t>
      </w:r>
    </w:p>
    <w:p w14:paraId="0C6D41AE" w14:textId="34854C4C" w:rsidR="00EB3DCB" w:rsidRPr="00EB3DCB" w:rsidRDefault="00EB3DCB" w:rsidP="00C6661A">
      <w:pPr>
        <w:spacing w:after="0" w:line="240" w:lineRule="auto"/>
        <w:contextualSpacing/>
        <w:jc w:val="both"/>
        <w:rPr>
          <w:color w:val="000000" w:themeColor="text1"/>
          <w:lang w:val="id-ID"/>
        </w:rPr>
      </w:pPr>
      <w:r w:rsidRPr="00EB3DCB">
        <w:rPr>
          <w:color w:val="000000" w:themeColor="text1"/>
          <w:lang w:val="id-ID"/>
        </w:rPr>
        <w:t>Uji multikolinearitas bertujuan untuk mengetahui apakah terdapat hubungan linear yang kuat antar variabel independen dalam model regresi. Model yang baik adalah model yang bebas dari multikolinearitas. Kriteria pengambilan keputusan: Tolerance &lt; 0.10 → Terjadi multikolinearitas, VIF &gt; 10 → Terjadi multikolinearitas, jika Tolerance &gt; 0.10 dan VIF &lt; 10, maka tidak terjadi multikolinearitas.</w:t>
      </w:r>
    </w:p>
    <w:p w14:paraId="78CCD82C" w14:textId="77777777" w:rsidR="00C6661A" w:rsidRDefault="00C6661A" w:rsidP="00EB3DCB">
      <w:pPr>
        <w:spacing w:after="0" w:line="240" w:lineRule="auto"/>
        <w:contextualSpacing/>
        <w:jc w:val="both"/>
        <w:rPr>
          <w:b/>
          <w:bCs/>
          <w:color w:val="000000" w:themeColor="text1"/>
          <w:lang w:val="en-US"/>
        </w:rPr>
      </w:pPr>
    </w:p>
    <w:p w14:paraId="567D6F13" w14:textId="7B7A8E03" w:rsidR="00EB3DCB" w:rsidRPr="00EB3DCB" w:rsidRDefault="00EB3DCB" w:rsidP="00EB3DCB">
      <w:pPr>
        <w:spacing w:after="0" w:line="240" w:lineRule="auto"/>
        <w:contextualSpacing/>
        <w:jc w:val="both"/>
        <w:rPr>
          <w:b/>
          <w:bCs/>
          <w:color w:val="000000" w:themeColor="text1"/>
          <w:lang w:val="id-ID"/>
        </w:rPr>
      </w:pPr>
      <w:r w:rsidRPr="00EB3DCB">
        <w:rPr>
          <w:b/>
          <w:bCs/>
          <w:color w:val="000000" w:themeColor="text1"/>
          <w:lang w:val="id-ID"/>
        </w:rPr>
        <w:t xml:space="preserve">Tabel </w:t>
      </w:r>
      <w:r w:rsidR="00EB4B92">
        <w:rPr>
          <w:b/>
          <w:bCs/>
          <w:color w:val="000000" w:themeColor="text1"/>
          <w:lang w:val="id-ID"/>
        </w:rPr>
        <w:t>4</w:t>
      </w:r>
      <w:r w:rsidRPr="00EB3DCB">
        <w:rPr>
          <w:b/>
          <w:bCs/>
          <w:color w:val="000000" w:themeColor="text1"/>
          <w:lang w:val="id-ID"/>
        </w:rPr>
        <w:t xml:space="preserve">. </w:t>
      </w:r>
      <w:bookmarkStart w:id="2" w:name="_Hlk214541406"/>
      <w:r w:rsidRPr="00EB3DCB">
        <w:rPr>
          <w:b/>
          <w:bCs/>
          <w:color w:val="000000" w:themeColor="text1"/>
          <w:lang w:val="id-ID"/>
        </w:rPr>
        <w:t>Uji multikolinearitas</w:t>
      </w:r>
      <w:bookmarkEnd w:id="2"/>
    </w:p>
    <w:p w14:paraId="251B14F4" w14:textId="77777777" w:rsidR="00EB3DCB" w:rsidRPr="00EB3DCB" w:rsidRDefault="00EB3DCB" w:rsidP="00EB3DCB">
      <w:pPr>
        <w:spacing w:after="0" w:line="240" w:lineRule="auto"/>
        <w:contextualSpacing/>
        <w:jc w:val="both"/>
        <w:rPr>
          <w:b/>
          <w:bCs/>
          <w:color w:val="000000" w:themeColor="text1"/>
          <w:lang w:val="id-ID"/>
        </w:rPr>
      </w:pPr>
      <w:r w:rsidRPr="00EB3DCB">
        <w:rPr>
          <w:b/>
          <w:bCs/>
          <w:color w:val="000000" w:themeColor="text1"/>
          <w:lang w:val="id-ID"/>
        </w:rPr>
        <w:t>Coefficients</w:t>
      </w:r>
    </w:p>
    <w:tbl>
      <w:tblPr>
        <w:tblW w:w="9077" w:type="dxa"/>
        <w:tblInd w:w="-5"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134"/>
        <w:gridCol w:w="3691"/>
        <w:gridCol w:w="4252"/>
      </w:tblGrid>
      <w:tr w:rsidR="00FC674A" w:rsidRPr="00EB3DCB" w14:paraId="6AEB1B08" w14:textId="77777777" w:rsidTr="002A61B7">
        <w:trPr>
          <w:cantSplit/>
        </w:trPr>
        <w:tc>
          <w:tcPr>
            <w:tcW w:w="1134" w:type="dxa"/>
            <w:vMerge w:val="restart"/>
            <w:shd w:val="clear" w:color="auto" w:fill="FFFFFF"/>
            <w:vAlign w:val="bottom"/>
          </w:tcPr>
          <w:p w14:paraId="1AFFA172" w14:textId="77777777" w:rsidR="00FC674A" w:rsidRPr="00EB3DCB" w:rsidRDefault="00FC674A" w:rsidP="00EB3DCB">
            <w:pPr>
              <w:spacing w:after="0" w:line="240" w:lineRule="auto"/>
              <w:jc w:val="center"/>
              <w:rPr>
                <w:color w:val="000000" w:themeColor="text1"/>
                <w:lang w:val="en-US"/>
              </w:rPr>
            </w:pPr>
            <w:r w:rsidRPr="00EB3DCB">
              <w:rPr>
                <w:color w:val="000000" w:themeColor="text1"/>
                <w:lang w:val="en-US"/>
              </w:rPr>
              <w:t>Model</w:t>
            </w:r>
          </w:p>
        </w:tc>
        <w:tc>
          <w:tcPr>
            <w:tcW w:w="7943" w:type="dxa"/>
            <w:gridSpan w:val="2"/>
            <w:shd w:val="clear" w:color="auto" w:fill="FFFFFF"/>
            <w:vAlign w:val="bottom"/>
          </w:tcPr>
          <w:p w14:paraId="5BE14CDB" w14:textId="4C975870" w:rsidR="00FC674A" w:rsidRPr="003867BD" w:rsidRDefault="00FC674A" w:rsidP="00FC674A">
            <w:pPr>
              <w:spacing w:after="0" w:line="240" w:lineRule="auto"/>
              <w:jc w:val="center"/>
              <w:rPr>
                <w:color w:val="000000" w:themeColor="text1"/>
                <w:highlight w:val="yellow"/>
                <w:lang w:val="en-US"/>
              </w:rPr>
            </w:pPr>
            <w:r w:rsidRPr="00EB3DCB">
              <w:rPr>
                <w:color w:val="000000" w:themeColor="text1"/>
                <w:lang w:val="en-US"/>
              </w:rPr>
              <w:t>Collinearity Statistics</w:t>
            </w:r>
          </w:p>
        </w:tc>
      </w:tr>
      <w:tr w:rsidR="00FC674A" w:rsidRPr="00EB3DCB" w14:paraId="63396E8F" w14:textId="77777777" w:rsidTr="002A61B7">
        <w:trPr>
          <w:cantSplit/>
        </w:trPr>
        <w:tc>
          <w:tcPr>
            <w:tcW w:w="1134" w:type="dxa"/>
            <w:vMerge/>
            <w:shd w:val="clear" w:color="auto" w:fill="FFFFFF"/>
            <w:vAlign w:val="bottom"/>
          </w:tcPr>
          <w:p w14:paraId="5878F42C" w14:textId="77777777" w:rsidR="00FC674A" w:rsidRPr="00EB3DCB" w:rsidRDefault="00FC674A" w:rsidP="00FC674A">
            <w:pPr>
              <w:spacing w:after="0" w:line="240" w:lineRule="auto"/>
              <w:jc w:val="both"/>
              <w:rPr>
                <w:color w:val="000000" w:themeColor="text1"/>
                <w:lang w:val="en-US"/>
              </w:rPr>
            </w:pPr>
          </w:p>
        </w:tc>
        <w:tc>
          <w:tcPr>
            <w:tcW w:w="3691" w:type="dxa"/>
            <w:shd w:val="clear" w:color="auto" w:fill="FFFFFF"/>
            <w:vAlign w:val="bottom"/>
          </w:tcPr>
          <w:p w14:paraId="333C15F9" w14:textId="4DFAE054" w:rsidR="00FC674A" w:rsidRPr="003867BD" w:rsidRDefault="00FC674A" w:rsidP="00FC674A">
            <w:pPr>
              <w:spacing w:after="0" w:line="240" w:lineRule="auto"/>
              <w:jc w:val="center"/>
              <w:rPr>
                <w:color w:val="000000" w:themeColor="text1"/>
                <w:highlight w:val="yellow"/>
                <w:lang w:val="en-US"/>
              </w:rPr>
            </w:pPr>
            <w:r w:rsidRPr="00EB3DCB">
              <w:rPr>
                <w:color w:val="000000" w:themeColor="text1"/>
                <w:lang w:val="en-US"/>
              </w:rPr>
              <w:t>Tolerance</w:t>
            </w:r>
          </w:p>
        </w:tc>
        <w:tc>
          <w:tcPr>
            <w:tcW w:w="4252" w:type="dxa"/>
            <w:shd w:val="clear" w:color="auto" w:fill="FFFFFF"/>
            <w:vAlign w:val="bottom"/>
          </w:tcPr>
          <w:p w14:paraId="2323D111" w14:textId="4C78B2FA" w:rsidR="00FC674A" w:rsidRPr="003867BD" w:rsidRDefault="00FC674A" w:rsidP="00FC674A">
            <w:pPr>
              <w:spacing w:after="0" w:line="240" w:lineRule="auto"/>
              <w:jc w:val="center"/>
              <w:rPr>
                <w:color w:val="000000" w:themeColor="text1"/>
                <w:highlight w:val="yellow"/>
                <w:lang w:val="en-US"/>
              </w:rPr>
            </w:pPr>
            <w:r w:rsidRPr="00EB3DCB">
              <w:rPr>
                <w:color w:val="000000" w:themeColor="text1"/>
                <w:lang w:val="en-US"/>
              </w:rPr>
              <w:t>VIF</w:t>
            </w:r>
          </w:p>
        </w:tc>
      </w:tr>
      <w:tr w:rsidR="00FC674A" w:rsidRPr="00EB3DCB" w14:paraId="666DA4ED" w14:textId="77777777" w:rsidTr="002A61B7">
        <w:trPr>
          <w:cantSplit/>
        </w:trPr>
        <w:tc>
          <w:tcPr>
            <w:tcW w:w="1134" w:type="dxa"/>
          </w:tcPr>
          <w:p w14:paraId="2D5351DF" w14:textId="77777777" w:rsidR="00FC674A" w:rsidRPr="00EB3DCB" w:rsidRDefault="00FC674A" w:rsidP="00FC674A">
            <w:pPr>
              <w:spacing w:after="0" w:line="240" w:lineRule="auto"/>
              <w:jc w:val="center"/>
              <w:rPr>
                <w:color w:val="000000" w:themeColor="text1"/>
                <w:lang w:val="en-US"/>
              </w:rPr>
            </w:pPr>
            <w:r w:rsidRPr="00EB3DCB">
              <w:rPr>
                <w:color w:val="000000" w:themeColor="text1"/>
                <w:lang w:val="en-US"/>
              </w:rPr>
              <w:t>(Constant)</w:t>
            </w:r>
          </w:p>
        </w:tc>
        <w:tc>
          <w:tcPr>
            <w:tcW w:w="3691" w:type="dxa"/>
          </w:tcPr>
          <w:p w14:paraId="70789D65" w14:textId="52C5FEBC" w:rsidR="00FC674A" w:rsidRPr="003867BD" w:rsidRDefault="00FC674A" w:rsidP="00FC674A">
            <w:pPr>
              <w:spacing w:after="0" w:line="240" w:lineRule="auto"/>
              <w:ind w:right="189"/>
              <w:jc w:val="center"/>
              <w:rPr>
                <w:color w:val="000000" w:themeColor="text1"/>
                <w:highlight w:val="yellow"/>
                <w:lang w:val="en-US"/>
              </w:rPr>
            </w:pPr>
            <w:r w:rsidRPr="00EB3DCB">
              <w:rPr>
                <w:color w:val="000000" w:themeColor="text1"/>
                <w:lang w:val="en-US"/>
              </w:rPr>
              <w:t>.193</w:t>
            </w:r>
          </w:p>
        </w:tc>
        <w:tc>
          <w:tcPr>
            <w:tcW w:w="4252" w:type="dxa"/>
          </w:tcPr>
          <w:p w14:paraId="5E3B0D2C" w14:textId="3A33FF45" w:rsidR="00FC674A" w:rsidRPr="003867BD" w:rsidRDefault="00FC674A" w:rsidP="00FC674A">
            <w:pPr>
              <w:spacing w:after="0" w:line="240" w:lineRule="auto"/>
              <w:ind w:right="189"/>
              <w:jc w:val="center"/>
              <w:rPr>
                <w:color w:val="000000" w:themeColor="text1"/>
                <w:highlight w:val="yellow"/>
                <w:lang w:val="en-US"/>
              </w:rPr>
            </w:pPr>
            <w:r w:rsidRPr="00EB3DCB">
              <w:rPr>
                <w:color w:val="000000" w:themeColor="text1"/>
                <w:lang w:val="en-US"/>
              </w:rPr>
              <w:t>9.735</w:t>
            </w:r>
          </w:p>
        </w:tc>
      </w:tr>
      <w:tr w:rsidR="00FC674A" w:rsidRPr="00EB3DCB" w14:paraId="0B5D5D63" w14:textId="77777777" w:rsidTr="002A61B7">
        <w:trPr>
          <w:cantSplit/>
        </w:trPr>
        <w:tc>
          <w:tcPr>
            <w:tcW w:w="1134" w:type="dxa"/>
          </w:tcPr>
          <w:p w14:paraId="175D13A8" w14:textId="77777777" w:rsidR="00FC674A" w:rsidRPr="00EB3DCB" w:rsidRDefault="00FC674A" w:rsidP="00FC674A">
            <w:pPr>
              <w:spacing w:after="0" w:line="240" w:lineRule="auto"/>
              <w:jc w:val="center"/>
              <w:rPr>
                <w:color w:val="000000" w:themeColor="text1"/>
                <w:vertAlign w:val="subscript"/>
                <w:lang w:val="en-US"/>
              </w:rPr>
            </w:pPr>
            <w:r w:rsidRPr="00EB3DCB">
              <w:rPr>
                <w:color w:val="000000" w:themeColor="text1"/>
                <w:lang w:val="en-US"/>
              </w:rPr>
              <w:t>X</w:t>
            </w:r>
            <w:r w:rsidRPr="00EB3DCB">
              <w:rPr>
                <w:color w:val="000000" w:themeColor="text1"/>
                <w:vertAlign w:val="subscript"/>
                <w:lang w:val="en-US"/>
              </w:rPr>
              <w:t>1</w:t>
            </w:r>
          </w:p>
        </w:tc>
        <w:tc>
          <w:tcPr>
            <w:tcW w:w="3691" w:type="dxa"/>
          </w:tcPr>
          <w:p w14:paraId="68C7DBA9" w14:textId="38EF52AE" w:rsidR="00FC674A" w:rsidRPr="003867BD" w:rsidRDefault="00FC674A" w:rsidP="00FC674A">
            <w:pPr>
              <w:spacing w:after="0" w:line="240" w:lineRule="auto"/>
              <w:ind w:right="189"/>
              <w:jc w:val="center"/>
              <w:rPr>
                <w:color w:val="000000" w:themeColor="text1"/>
                <w:highlight w:val="yellow"/>
                <w:lang w:val="en-US"/>
              </w:rPr>
            </w:pPr>
            <w:r w:rsidRPr="00EB3DCB">
              <w:rPr>
                <w:color w:val="000000" w:themeColor="text1"/>
                <w:lang w:val="en-US"/>
              </w:rPr>
              <w:t>.144</w:t>
            </w:r>
          </w:p>
        </w:tc>
        <w:tc>
          <w:tcPr>
            <w:tcW w:w="4252" w:type="dxa"/>
          </w:tcPr>
          <w:p w14:paraId="5642D51C" w14:textId="510BBCCF" w:rsidR="00FC674A" w:rsidRPr="003867BD" w:rsidRDefault="00FC674A" w:rsidP="00FC674A">
            <w:pPr>
              <w:spacing w:after="0" w:line="240" w:lineRule="auto"/>
              <w:ind w:right="189"/>
              <w:jc w:val="center"/>
              <w:rPr>
                <w:color w:val="000000" w:themeColor="text1"/>
                <w:highlight w:val="yellow"/>
                <w:lang w:val="en-US"/>
              </w:rPr>
            </w:pPr>
            <w:r w:rsidRPr="00EB3DCB">
              <w:rPr>
                <w:color w:val="000000" w:themeColor="text1"/>
                <w:lang w:val="en-US"/>
              </w:rPr>
              <w:t>9.857</w:t>
            </w:r>
          </w:p>
        </w:tc>
      </w:tr>
      <w:tr w:rsidR="00FC674A" w:rsidRPr="00EB3DCB" w14:paraId="27994BDA" w14:textId="77777777" w:rsidTr="002A61B7">
        <w:trPr>
          <w:cantSplit/>
        </w:trPr>
        <w:tc>
          <w:tcPr>
            <w:tcW w:w="1134" w:type="dxa"/>
          </w:tcPr>
          <w:p w14:paraId="17D464CD" w14:textId="77777777" w:rsidR="00FC674A" w:rsidRPr="00EB3DCB" w:rsidRDefault="00FC674A" w:rsidP="00FC674A">
            <w:pPr>
              <w:spacing w:after="0" w:line="240" w:lineRule="auto"/>
              <w:jc w:val="center"/>
              <w:rPr>
                <w:color w:val="000000" w:themeColor="text1"/>
                <w:vertAlign w:val="subscript"/>
                <w:lang w:val="en-US"/>
              </w:rPr>
            </w:pPr>
            <w:r w:rsidRPr="00EB3DCB">
              <w:rPr>
                <w:color w:val="000000" w:themeColor="text1"/>
                <w:lang w:val="en-US"/>
              </w:rPr>
              <w:t>X</w:t>
            </w:r>
            <w:r w:rsidRPr="00EB3DCB">
              <w:rPr>
                <w:color w:val="000000" w:themeColor="text1"/>
                <w:vertAlign w:val="subscript"/>
                <w:lang w:val="en-US"/>
              </w:rPr>
              <w:t>2</w:t>
            </w:r>
          </w:p>
        </w:tc>
        <w:tc>
          <w:tcPr>
            <w:tcW w:w="3691" w:type="dxa"/>
          </w:tcPr>
          <w:p w14:paraId="4A2BCB0A" w14:textId="0C2F3AEA" w:rsidR="00FC674A" w:rsidRPr="003867BD" w:rsidRDefault="00FC674A" w:rsidP="00FC674A">
            <w:pPr>
              <w:spacing w:after="0" w:line="240" w:lineRule="auto"/>
              <w:ind w:right="189"/>
              <w:jc w:val="center"/>
              <w:rPr>
                <w:color w:val="000000" w:themeColor="text1"/>
                <w:highlight w:val="yellow"/>
                <w:lang w:val="en-US"/>
              </w:rPr>
            </w:pPr>
            <w:r w:rsidRPr="00EB3DCB">
              <w:rPr>
                <w:color w:val="000000" w:themeColor="text1"/>
                <w:lang w:val="en-US"/>
              </w:rPr>
              <w:t>.566</w:t>
            </w:r>
          </w:p>
        </w:tc>
        <w:tc>
          <w:tcPr>
            <w:tcW w:w="4252" w:type="dxa"/>
          </w:tcPr>
          <w:p w14:paraId="0D190BD0" w14:textId="464D322B" w:rsidR="00FC674A" w:rsidRPr="003867BD" w:rsidRDefault="00FC674A" w:rsidP="00FC674A">
            <w:pPr>
              <w:spacing w:after="0" w:line="240" w:lineRule="auto"/>
              <w:ind w:right="189"/>
              <w:jc w:val="center"/>
              <w:rPr>
                <w:color w:val="000000" w:themeColor="text1"/>
                <w:highlight w:val="yellow"/>
                <w:lang w:val="en-US"/>
              </w:rPr>
            </w:pPr>
            <w:r w:rsidRPr="00EB3DCB">
              <w:rPr>
                <w:color w:val="000000" w:themeColor="text1"/>
                <w:lang w:val="en-US"/>
              </w:rPr>
              <w:t>1.768</w:t>
            </w:r>
          </w:p>
        </w:tc>
      </w:tr>
      <w:tr w:rsidR="00FC674A" w:rsidRPr="00EB3DCB" w14:paraId="175198B5" w14:textId="77777777" w:rsidTr="002A61B7">
        <w:trPr>
          <w:cantSplit/>
        </w:trPr>
        <w:tc>
          <w:tcPr>
            <w:tcW w:w="1134" w:type="dxa"/>
          </w:tcPr>
          <w:p w14:paraId="3EFFAE9B" w14:textId="77777777" w:rsidR="00FC674A" w:rsidRPr="00EB3DCB" w:rsidRDefault="00FC674A" w:rsidP="00FC674A">
            <w:pPr>
              <w:spacing w:after="0" w:line="240" w:lineRule="auto"/>
              <w:jc w:val="center"/>
              <w:rPr>
                <w:color w:val="000000" w:themeColor="text1"/>
                <w:vertAlign w:val="subscript"/>
                <w:lang w:val="en-US"/>
              </w:rPr>
            </w:pPr>
            <w:r w:rsidRPr="00EB3DCB">
              <w:rPr>
                <w:color w:val="000000" w:themeColor="text1"/>
                <w:lang w:val="en-US"/>
              </w:rPr>
              <w:t>X</w:t>
            </w:r>
            <w:r w:rsidRPr="00EB3DCB">
              <w:rPr>
                <w:color w:val="000000" w:themeColor="text1"/>
                <w:vertAlign w:val="subscript"/>
                <w:lang w:val="en-US"/>
              </w:rPr>
              <w:t>3</w:t>
            </w:r>
          </w:p>
        </w:tc>
        <w:tc>
          <w:tcPr>
            <w:tcW w:w="3691" w:type="dxa"/>
          </w:tcPr>
          <w:p w14:paraId="71DA43ED" w14:textId="4DB4B6EF" w:rsidR="00FC674A" w:rsidRPr="003867BD" w:rsidRDefault="00FC674A" w:rsidP="00FC674A">
            <w:pPr>
              <w:spacing w:after="0" w:line="240" w:lineRule="auto"/>
              <w:ind w:right="189"/>
              <w:jc w:val="center"/>
              <w:rPr>
                <w:color w:val="000000" w:themeColor="text1"/>
                <w:highlight w:val="yellow"/>
                <w:lang w:val="en-US"/>
              </w:rPr>
            </w:pPr>
            <w:r w:rsidRPr="00EB3DCB">
              <w:rPr>
                <w:color w:val="000000" w:themeColor="text1"/>
                <w:lang w:val="en-US"/>
              </w:rPr>
              <w:t>.141</w:t>
            </w:r>
          </w:p>
        </w:tc>
        <w:tc>
          <w:tcPr>
            <w:tcW w:w="4252" w:type="dxa"/>
          </w:tcPr>
          <w:p w14:paraId="5D6CD036" w14:textId="6D596787" w:rsidR="00FC674A" w:rsidRPr="003867BD" w:rsidRDefault="00FC674A" w:rsidP="00FC674A">
            <w:pPr>
              <w:spacing w:after="0" w:line="240" w:lineRule="auto"/>
              <w:ind w:right="189"/>
              <w:jc w:val="center"/>
              <w:rPr>
                <w:color w:val="000000" w:themeColor="text1"/>
                <w:highlight w:val="yellow"/>
                <w:lang w:val="en-US"/>
              </w:rPr>
            </w:pPr>
            <w:r w:rsidRPr="00EB3DCB">
              <w:rPr>
                <w:color w:val="000000" w:themeColor="text1"/>
                <w:lang w:val="en-US"/>
              </w:rPr>
              <w:t>9.686</w:t>
            </w:r>
          </w:p>
        </w:tc>
      </w:tr>
      <w:tr w:rsidR="00FC674A" w:rsidRPr="00EB3DCB" w14:paraId="39F97E1A" w14:textId="77777777" w:rsidTr="002A61B7">
        <w:trPr>
          <w:cantSplit/>
        </w:trPr>
        <w:tc>
          <w:tcPr>
            <w:tcW w:w="1134" w:type="dxa"/>
          </w:tcPr>
          <w:p w14:paraId="305C0576" w14:textId="77777777" w:rsidR="00FC674A" w:rsidRPr="00EB3DCB" w:rsidRDefault="00FC674A" w:rsidP="00FC674A">
            <w:pPr>
              <w:spacing w:after="0" w:line="240" w:lineRule="auto"/>
              <w:jc w:val="center"/>
              <w:rPr>
                <w:color w:val="000000" w:themeColor="text1"/>
                <w:vertAlign w:val="subscript"/>
                <w:lang w:val="en-US"/>
              </w:rPr>
            </w:pPr>
            <w:r w:rsidRPr="00EB3DCB">
              <w:rPr>
                <w:color w:val="000000" w:themeColor="text1"/>
                <w:lang w:val="en-US"/>
              </w:rPr>
              <w:t>X</w:t>
            </w:r>
            <w:r w:rsidRPr="00EB3DCB">
              <w:rPr>
                <w:color w:val="000000" w:themeColor="text1"/>
                <w:vertAlign w:val="subscript"/>
                <w:lang w:val="en-US"/>
              </w:rPr>
              <w:t>4</w:t>
            </w:r>
          </w:p>
        </w:tc>
        <w:tc>
          <w:tcPr>
            <w:tcW w:w="3691" w:type="dxa"/>
          </w:tcPr>
          <w:p w14:paraId="554A5210" w14:textId="1AC2C9A7" w:rsidR="00FC674A" w:rsidRPr="003867BD" w:rsidRDefault="00FC674A" w:rsidP="00FC674A">
            <w:pPr>
              <w:spacing w:after="0" w:line="240" w:lineRule="auto"/>
              <w:ind w:right="189"/>
              <w:jc w:val="center"/>
              <w:rPr>
                <w:color w:val="000000" w:themeColor="text1"/>
                <w:highlight w:val="yellow"/>
                <w:lang w:val="en-US"/>
              </w:rPr>
            </w:pPr>
            <w:r w:rsidRPr="00EB3DCB">
              <w:rPr>
                <w:color w:val="000000" w:themeColor="text1"/>
                <w:lang w:val="en-US"/>
              </w:rPr>
              <w:t>.439</w:t>
            </w:r>
          </w:p>
        </w:tc>
        <w:tc>
          <w:tcPr>
            <w:tcW w:w="4252" w:type="dxa"/>
          </w:tcPr>
          <w:p w14:paraId="1F3B139F" w14:textId="5BD707AB" w:rsidR="00FC674A" w:rsidRPr="003867BD" w:rsidRDefault="00FC674A" w:rsidP="00FC674A">
            <w:pPr>
              <w:spacing w:after="0" w:line="240" w:lineRule="auto"/>
              <w:ind w:right="189"/>
              <w:jc w:val="center"/>
              <w:rPr>
                <w:color w:val="000000" w:themeColor="text1"/>
                <w:highlight w:val="yellow"/>
                <w:lang w:val="en-US"/>
              </w:rPr>
            </w:pPr>
            <w:r w:rsidRPr="00EB3DCB">
              <w:rPr>
                <w:color w:val="000000" w:themeColor="text1"/>
                <w:lang w:val="en-US"/>
              </w:rPr>
              <w:t>2.277</w:t>
            </w:r>
          </w:p>
        </w:tc>
      </w:tr>
      <w:tr w:rsidR="00FC674A" w:rsidRPr="00EB3DCB" w14:paraId="537BC9DC" w14:textId="77777777" w:rsidTr="002A61B7">
        <w:trPr>
          <w:cantSplit/>
        </w:trPr>
        <w:tc>
          <w:tcPr>
            <w:tcW w:w="1134" w:type="dxa"/>
          </w:tcPr>
          <w:p w14:paraId="33676EE2" w14:textId="77777777" w:rsidR="00FC674A" w:rsidRPr="00EB3DCB" w:rsidRDefault="00FC674A" w:rsidP="00FC674A">
            <w:pPr>
              <w:spacing w:after="0" w:line="240" w:lineRule="auto"/>
              <w:jc w:val="center"/>
              <w:rPr>
                <w:color w:val="000000" w:themeColor="text1"/>
                <w:vertAlign w:val="subscript"/>
                <w:lang w:val="en-US"/>
              </w:rPr>
            </w:pPr>
            <w:r w:rsidRPr="00EB3DCB">
              <w:rPr>
                <w:color w:val="000000" w:themeColor="text1"/>
                <w:lang w:val="en-US"/>
              </w:rPr>
              <w:t>X</w:t>
            </w:r>
            <w:r w:rsidRPr="00EB3DCB">
              <w:rPr>
                <w:color w:val="000000" w:themeColor="text1"/>
                <w:vertAlign w:val="subscript"/>
                <w:lang w:val="en-US"/>
              </w:rPr>
              <w:t>5</w:t>
            </w:r>
          </w:p>
        </w:tc>
        <w:tc>
          <w:tcPr>
            <w:tcW w:w="3691" w:type="dxa"/>
          </w:tcPr>
          <w:p w14:paraId="221599DD" w14:textId="471215A5" w:rsidR="00FC674A" w:rsidRPr="003867BD" w:rsidRDefault="00FC674A" w:rsidP="00FC674A">
            <w:pPr>
              <w:spacing w:after="0" w:line="240" w:lineRule="auto"/>
              <w:ind w:right="189"/>
              <w:jc w:val="center"/>
              <w:rPr>
                <w:color w:val="000000" w:themeColor="text1"/>
                <w:highlight w:val="yellow"/>
                <w:lang w:val="en-US"/>
              </w:rPr>
            </w:pPr>
            <w:r w:rsidRPr="00EB3DCB">
              <w:rPr>
                <w:color w:val="000000" w:themeColor="text1"/>
                <w:lang w:val="en-US"/>
              </w:rPr>
              <w:t>.193</w:t>
            </w:r>
          </w:p>
        </w:tc>
        <w:tc>
          <w:tcPr>
            <w:tcW w:w="4252" w:type="dxa"/>
          </w:tcPr>
          <w:p w14:paraId="31BC6AE2" w14:textId="5EF77B93" w:rsidR="00FC674A" w:rsidRPr="003867BD" w:rsidRDefault="00FC674A" w:rsidP="00FC674A">
            <w:pPr>
              <w:spacing w:after="0" w:line="240" w:lineRule="auto"/>
              <w:ind w:right="189"/>
              <w:jc w:val="center"/>
              <w:rPr>
                <w:color w:val="000000" w:themeColor="text1"/>
                <w:highlight w:val="yellow"/>
                <w:lang w:val="en-US"/>
              </w:rPr>
            </w:pPr>
            <w:r w:rsidRPr="00EB3DCB">
              <w:rPr>
                <w:color w:val="000000" w:themeColor="text1"/>
                <w:lang w:val="en-US"/>
              </w:rPr>
              <w:t>9.735</w:t>
            </w:r>
          </w:p>
        </w:tc>
      </w:tr>
      <w:tr w:rsidR="00EB3DCB" w:rsidRPr="00EB3DCB" w14:paraId="2D42B5D5" w14:textId="77777777" w:rsidTr="002A61B7">
        <w:trPr>
          <w:cantSplit/>
        </w:trPr>
        <w:tc>
          <w:tcPr>
            <w:tcW w:w="9077" w:type="dxa"/>
            <w:gridSpan w:val="3"/>
            <w:shd w:val="clear" w:color="auto" w:fill="FFFFFF"/>
          </w:tcPr>
          <w:p w14:paraId="4EFBCF0B" w14:textId="77777777" w:rsidR="00EB3DCB" w:rsidRPr="00EB3DCB" w:rsidRDefault="00EB3DCB" w:rsidP="00EB3DCB">
            <w:pPr>
              <w:spacing w:after="0" w:line="240" w:lineRule="auto"/>
              <w:jc w:val="both"/>
              <w:rPr>
                <w:color w:val="000000" w:themeColor="text1"/>
                <w:lang w:val="en-US"/>
              </w:rPr>
            </w:pPr>
            <w:r w:rsidRPr="00EB3DCB">
              <w:rPr>
                <w:color w:val="000000" w:themeColor="text1"/>
                <w:lang w:val="en-US"/>
              </w:rPr>
              <w:lastRenderedPageBreak/>
              <w:t>a. Dependent Variable: Y</w:t>
            </w:r>
          </w:p>
        </w:tc>
      </w:tr>
    </w:tbl>
    <w:p w14:paraId="1455271A" w14:textId="77777777" w:rsidR="00C6661A" w:rsidRDefault="00C6661A" w:rsidP="00C6661A">
      <w:pPr>
        <w:spacing w:after="0" w:line="240" w:lineRule="auto"/>
        <w:jc w:val="both"/>
        <w:rPr>
          <w:color w:val="000000" w:themeColor="text1"/>
          <w:lang w:val="en-US"/>
        </w:rPr>
      </w:pPr>
    </w:p>
    <w:p w14:paraId="7346883D" w14:textId="77777777" w:rsidR="00EB3DCB" w:rsidRPr="00EB3DCB" w:rsidRDefault="00EB3DCB" w:rsidP="00C6661A">
      <w:pPr>
        <w:spacing w:after="0" w:line="240" w:lineRule="auto"/>
        <w:jc w:val="both"/>
        <w:rPr>
          <w:color w:val="000000" w:themeColor="text1"/>
          <w:lang w:val="id-ID"/>
        </w:rPr>
      </w:pPr>
      <w:r w:rsidRPr="00EB3DCB">
        <w:rPr>
          <w:color w:val="000000" w:themeColor="text1"/>
          <w:lang w:val="id-ID"/>
        </w:rPr>
        <w:t>Uji multikolinearitas dilakukan untuk mengetahui ada tidaknya hubungan linear yang kuat antar variabel independen. Berdasarkan hasil perhitungan, seluruh variabel independen menunjukkan nilai tolerance di atas 0.10 dan nilai Variance Inflation Factor (VIF) di bawah 10. Variabel X</w:t>
      </w:r>
      <w:r w:rsidRPr="00EB3DCB">
        <w:rPr>
          <w:color w:val="000000" w:themeColor="text1"/>
          <w:vertAlign w:val="subscript"/>
          <w:lang w:val="id-ID"/>
        </w:rPr>
        <w:t>1</w:t>
      </w:r>
      <w:r w:rsidRPr="00EB3DCB">
        <w:rPr>
          <w:color w:val="000000" w:themeColor="text1"/>
          <w:lang w:val="id-ID"/>
        </w:rPr>
        <w:t xml:space="preserve"> memiliki tolerance 0.193 dan VIF 9.735, X</w:t>
      </w:r>
      <w:r w:rsidRPr="00EB3DCB">
        <w:rPr>
          <w:color w:val="000000" w:themeColor="text1"/>
          <w:vertAlign w:val="subscript"/>
          <w:lang w:val="id-ID"/>
        </w:rPr>
        <w:t>2</w:t>
      </w:r>
      <w:r w:rsidRPr="00EB3DCB">
        <w:rPr>
          <w:color w:val="000000" w:themeColor="text1"/>
          <w:lang w:val="id-ID"/>
        </w:rPr>
        <w:t xml:space="preserve"> memiliki tolerance 0.144 dan VIF 9.857, X</w:t>
      </w:r>
      <w:r w:rsidRPr="00EB3DCB">
        <w:rPr>
          <w:color w:val="000000" w:themeColor="text1"/>
          <w:vertAlign w:val="subscript"/>
          <w:lang w:val="id-ID"/>
        </w:rPr>
        <w:t>3</w:t>
      </w:r>
      <w:r w:rsidRPr="00EB3DCB">
        <w:rPr>
          <w:color w:val="000000" w:themeColor="text1"/>
          <w:lang w:val="id-ID"/>
        </w:rPr>
        <w:t xml:space="preserve"> memiliki tolerance 0.566 dan VIF 1.768, X</w:t>
      </w:r>
      <w:r w:rsidRPr="00EB3DCB">
        <w:rPr>
          <w:color w:val="000000" w:themeColor="text1"/>
          <w:vertAlign w:val="subscript"/>
          <w:lang w:val="id-ID"/>
        </w:rPr>
        <w:t>4</w:t>
      </w:r>
      <w:r w:rsidRPr="00EB3DCB">
        <w:rPr>
          <w:color w:val="000000" w:themeColor="text1"/>
          <w:lang w:val="id-ID"/>
        </w:rPr>
        <w:t xml:space="preserve"> memiliki tolerance 0.141 dan VIF 9.686, serta X</w:t>
      </w:r>
      <w:r w:rsidRPr="00EB3DCB">
        <w:rPr>
          <w:color w:val="000000" w:themeColor="text1"/>
          <w:vertAlign w:val="subscript"/>
          <w:lang w:val="id-ID"/>
        </w:rPr>
        <w:t>5</w:t>
      </w:r>
      <w:r w:rsidRPr="00EB3DCB">
        <w:rPr>
          <w:color w:val="000000" w:themeColor="text1"/>
          <w:lang w:val="id-ID"/>
        </w:rPr>
        <w:t xml:space="preserve"> memiliki tolerance 0.439 dan VIF 2.277. Nilai-nilai tersebut menunjukkan bahwa tidak terjadi multikolinearitas dalam model regresi. Model regresi ini telah memenuhi asumsi bebas multikolinearitas dan dapat digunakan untuk analisis lebih lanjut.</w:t>
      </w:r>
    </w:p>
    <w:p w14:paraId="58873733" w14:textId="77777777" w:rsidR="00C6661A" w:rsidRDefault="00C6661A" w:rsidP="00C6661A">
      <w:pPr>
        <w:spacing w:after="0" w:line="240" w:lineRule="auto"/>
        <w:contextualSpacing/>
        <w:jc w:val="both"/>
        <w:rPr>
          <w:color w:val="000000" w:themeColor="text1"/>
          <w:lang w:val="en-US"/>
        </w:rPr>
      </w:pPr>
    </w:p>
    <w:p w14:paraId="213D0B58" w14:textId="77777777" w:rsidR="00C6661A" w:rsidRPr="00C6661A" w:rsidRDefault="00C6661A" w:rsidP="00C6661A">
      <w:pPr>
        <w:spacing w:after="0" w:line="240" w:lineRule="auto"/>
        <w:contextualSpacing/>
        <w:jc w:val="both"/>
        <w:rPr>
          <w:b/>
          <w:color w:val="000000" w:themeColor="text1"/>
          <w:lang w:val="en-US"/>
        </w:rPr>
      </w:pPr>
      <w:r w:rsidRPr="00C6661A">
        <w:rPr>
          <w:b/>
          <w:color w:val="000000" w:themeColor="text1"/>
          <w:lang w:val="en-US"/>
        </w:rPr>
        <w:t>Uji F</w:t>
      </w:r>
    </w:p>
    <w:p w14:paraId="73E58085" w14:textId="3DE8E2AB" w:rsidR="00EB3DCB" w:rsidRPr="00EB3DCB" w:rsidRDefault="00EB3DCB" w:rsidP="00C6661A">
      <w:pPr>
        <w:spacing w:after="0" w:line="240" w:lineRule="auto"/>
        <w:contextualSpacing/>
        <w:jc w:val="both"/>
        <w:rPr>
          <w:color w:val="000000" w:themeColor="text1"/>
          <w:lang w:val="id-ID"/>
        </w:rPr>
      </w:pPr>
      <w:r w:rsidRPr="00EB3DCB">
        <w:rPr>
          <w:color w:val="000000" w:themeColor="text1"/>
          <w:lang w:val="id-ID"/>
        </w:rPr>
        <w:t>Uji F digunakan untuk mengetahui pengaruh variabel independen secara simultan terhadap variabel dependen.</w:t>
      </w:r>
    </w:p>
    <w:p w14:paraId="468071F7" w14:textId="77777777" w:rsidR="00EB3DCB" w:rsidRPr="00EB3DCB" w:rsidRDefault="00EB3DCB" w:rsidP="00EB3DCB">
      <w:pPr>
        <w:spacing w:after="0" w:line="240" w:lineRule="auto"/>
        <w:ind w:firstLine="567"/>
        <w:contextualSpacing/>
        <w:jc w:val="both"/>
        <w:rPr>
          <w:color w:val="000000" w:themeColor="text1"/>
          <w:lang w:val="id-ID"/>
        </w:rPr>
      </w:pPr>
    </w:p>
    <w:p w14:paraId="48A0F01D" w14:textId="4BCF0E94" w:rsidR="00EB3DCB" w:rsidRPr="00EB3DCB" w:rsidRDefault="00EB3DCB" w:rsidP="00EB3DCB">
      <w:pPr>
        <w:spacing w:after="0" w:line="240" w:lineRule="auto"/>
        <w:contextualSpacing/>
        <w:jc w:val="both"/>
        <w:rPr>
          <w:b/>
          <w:bCs/>
          <w:color w:val="000000" w:themeColor="text1"/>
          <w:lang w:val="id-ID"/>
        </w:rPr>
      </w:pPr>
      <w:r w:rsidRPr="00EB3DCB">
        <w:rPr>
          <w:b/>
          <w:bCs/>
          <w:color w:val="000000" w:themeColor="text1"/>
          <w:lang w:val="id-ID"/>
        </w:rPr>
        <w:t xml:space="preserve">Tabel </w:t>
      </w:r>
      <w:r w:rsidR="00EB4B92">
        <w:rPr>
          <w:b/>
          <w:bCs/>
          <w:color w:val="000000" w:themeColor="text1"/>
          <w:lang w:val="id-ID"/>
        </w:rPr>
        <w:t>5</w:t>
      </w:r>
      <w:r w:rsidRPr="00EB3DCB">
        <w:rPr>
          <w:b/>
          <w:bCs/>
          <w:color w:val="000000" w:themeColor="text1"/>
          <w:lang w:val="id-ID"/>
        </w:rPr>
        <w:t xml:space="preserve">. </w:t>
      </w:r>
      <w:bookmarkStart w:id="3" w:name="_Hlk214541486"/>
      <w:r w:rsidRPr="00EB3DCB">
        <w:rPr>
          <w:b/>
          <w:bCs/>
          <w:color w:val="000000" w:themeColor="text1"/>
          <w:lang w:val="id-ID"/>
        </w:rPr>
        <w:t>Uji F (Simultan)</w:t>
      </w:r>
      <w:bookmarkEnd w:id="3"/>
    </w:p>
    <w:p w14:paraId="61286B24" w14:textId="77777777" w:rsidR="00EB3DCB" w:rsidRPr="00EB3DCB" w:rsidRDefault="00EB3DCB" w:rsidP="00EB3DCB">
      <w:pPr>
        <w:spacing w:after="0" w:line="240" w:lineRule="auto"/>
        <w:contextualSpacing/>
        <w:jc w:val="both"/>
        <w:rPr>
          <w:b/>
          <w:bCs/>
          <w:color w:val="000000" w:themeColor="text1"/>
          <w:lang w:val="id-ID"/>
        </w:rPr>
      </w:pPr>
      <w:r w:rsidRPr="00EB3DCB">
        <w:rPr>
          <w:b/>
          <w:bCs/>
          <w:color w:val="000000" w:themeColor="text1"/>
          <w:lang w:val="en-US"/>
        </w:rPr>
        <w:t>ANOVA</w:t>
      </w:r>
    </w:p>
    <w:tbl>
      <w:tblPr>
        <w:tblW w:w="9067" w:type="dxa"/>
        <w:tblLayout w:type="fixed"/>
        <w:tblCellMar>
          <w:left w:w="0" w:type="dxa"/>
          <w:right w:w="0" w:type="dxa"/>
        </w:tblCellMar>
        <w:tblLook w:val="0000" w:firstRow="0" w:lastRow="0" w:firstColumn="0" w:lastColumn="0" w:noHBand="0" w:noVBand="0"/>
      </w:tblPr>
      <w:tblGrid>
        <w:gridCol w:w="733"/>
        <w:gridCol w:w="1284"/>
        <w:gridCol w:w="1664"/>
        <w:gridCol w:w="830"/>
        <w:gridCol w:w="1721"/>
        <w:gridCol w:w="1276"/>
        <w:gridCol w:w="1559"/>
      </w:tblGrid>
      <w:tr w:rsidR="00EB3DCB" w:rsidRPr="00EB3DCB" w14:paraId="26C5E749" w14:textId="77777777" w:rsidTr="003318AA">
        <w:trPr>
          <w:cantSplit/>
        </w:trPr>
        <w:tc>
          <w:tcPr>
            <w:tcW w:w="2017" w:type="dxa"/>
            <w:gridSpan w:val="2"/>
            <w:tcBorders>
              <w:top w:val="single" w:sz="4" w:space="0" w:color="auto"/>
              <w:bottom w:val="single" w:sz="4" w:space="0" w:color="auto"/>
            </w:tcBorders>
            <w:shd w:val="clear" w:color="auto" w:fill="FFFFFF"/>
            <w:vAlign w:val="bottom"/>
          </w:tcPr>
          <w:p w14:paraId="66A31F6A" w14:textId="77777777" w:rsidR="00EB3DCB" w:rsidRPr="00EB3DCB" w:rsidRDefault="00EB3DCB" w:rsidP="00EB3DCB">
            <w:pPr>
              <w:spacing w:after="0" w:line="240" w:lineRule="auto"/>
              <w:jc w:val="both"/>
              <w:rPr>
                <w:color w:val="000000" w:themeColor="text1"/>
                <w:lang w:val="en-US"/>
              </w:rPr>
            </w:pPr>
            <w:r w:rsidRPr="00EB3DCB">
              <w:rPr>
                <w:color w:val="000000" w:themeColor="text1"/>
                <w:lang w:val="en-US"/>
              </w:rPr>
              <w:t>Model</w:t>
            </w:r>
          </w:p>
        </w:tc>
        <w:tc>
          <w:tcPr>
            <w:tcW w:w="1664" w:type="dxa"/>
            <w:tcBorders>
              <w:top w:val="single" w:sz="4" w:space="0" w:color="auto"/>
              <w:bottom w:val="single" w:sz="4" w:space="0" w:color="auto"/>
            </w:tcBorders>
            <w:shd w:val="clear" w:color="auto" w:fill="FFFFFF"/>
            <w:vAlign w:val="bottom"/>
          </w:tcPr>
          <w:p w14:paraId="1AF90F76"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Sum of Squares</w:t>
            </w:r>
          </w:p>
        </w:tc>
        <w:tc>
          <w:tcPr>
            <w:tcW w:w="830" w:type="dxa"/>
            <w:tcBorders>
              <w:top w:val="single" w:sz="4" w:space="0" w:color="auto"/>
              <w:bottom w:val="single" w:sz="4" w:space="0" w:color="auto"/>
            </w:tcBorders>
            <w:shd w:val="clear" w:color="auto" w:fill="FFFFFF"/>
            <w:vAlign w:val="bottom"/>
          </w:tcPr>
          <w:p w14:paraId="5FD2CF32"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df</w:t>
            </w:r>
          </w:p>
        </w:tc>
        <w:tc>
          <w:tcPr>
            <w:tcW w:w="1721" w:type="dxa"/>
            <w:tcBorders>
              <w:top w:val="single" w:sz="4" w:space="0" w:color="auto"/>
              <w:bottom w:val="single" w:sz="4" w:space="0" w:color="auto"/>
            </w:tcBorders>
            <w:shd w:val="clear" w:color="auto" w:fill="FFFFFF"/>
            <w:vAlign w:val="bottom"/>
          </w:tcPr>
          <w:p w14:paraId="3563AD3F"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Mean Square</w:t>
            </w:r>
          </w:p>
        </w:tc>
        <w:tc>
          <w:tcPr>
            <w:tcW w:w="1276" w:type="dxa"/>
            <w:tcBorders>
              <w:top w:val="single" w:sz="4" w:space="0" w:color="auto"/>
              <w:bottom w:val="single" w:sz="4" w:space="0" w:color="auto"/>
            </w:tcBorders>
            <w:shd w:val="clear" w:color="auto" w:fill="FFFFFF"/>
            <w:vAlign w:val="bottom"/>
          </w:tcPr>
          <w:p w14:paraId="4BFA1BEF"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F</w:t>
            </w:r>
          </w:p>
        </w:tc>
        <w:tc>
          <w:tcPr>
            <w:tcW w:w="1559" w:type="dxa"/>
            <w:tcBorders>
              <w:top w:val="single" w:sz="4" w:space="0" w:color="auto"/>
              <w:bottom w:val="single" w:sz="4" w:space="0" w:color="auto"/>
            </w:tcBorders>
            <w:shd w:val="clear" w:color="auto" w:fill="FFFFFF"/>
            <w:vAlign w:val="bottom"/>
          </w:tcPr>
          <w:p w14:paraId="550E75B1"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Sig.</w:t>
            </w:r>
          </w:p>
        </w:tc>
      </w:tr>
      <w:tr w:rsidR="00EB3DCB" w:rsidRPr="00EB3DCB" w14:paraId="3905A7B1" w14:textId="77777777" w:rsidTr="003318AA">
        <w:trPr>
          <w:cantSplit/>
        </w:trPr>
        <w:tc>
          <w:tcPr>
            <w:tcW w:w="733" w:type="dxa"/>
            <w:vMerge w:val="restart"/>
            <w:tcBorders>
              <w:top w:val="single" w:sz="4" w:space="0" w:color="auto"/>
              <w:bottom w:val="single" w:sz="4" w:space="0" w:color="auto"/>
            </w:tcBorders>
          </w:tcPr>
          <w:p w14:paraId="1146A926"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1</w:t>
            </w:r>
          </w:p>
        </w:tc>
        <w:tc>
          <w:tcPr>
            <w:tcW w:w="1284" w:type="dxa"/>
            <w:tcBorders>
              <w:top w:val="single" w:sz="4" w:space="0" w:color="auto"/>
              <w:bottom w:val="single" w:sz="4" w:space="0" w:color="auto"/>
            </w:tcBorders>
          </w:tcPr>
          <w:p w14:paraId="5ED3D12C" w14:textId="77777777" w:rsidR="00EB3DCB" w:rsidRPr="00EB3DCB" w:rsidRDefault="00EB3DCB" w:rsidP="00EB3DCB">
            <w:pPr>
              <w:spacing w:after="0" w:line="240" w:lineRule="auto"/>
              <w:rPr>
                <w:color w:val="000000" w:themeColor="text1"/>
                <w:lang w:val="en-US"/>
              </w:rPr>
            </w:pPr>
            <w:r w:rsidRPr="00EB3DCB">
              <w:rPr>
                <w:color w:val="000000" w:themeColor="text1"/>
                <w:lang w:val="en-US"/>
              </w:rPr>
              <w:t>Regression</w:t>
            </w:r>
          </w:p>
        </w:tc>
        <w:tc>
          <w:tcPr>
            <w:tcW w:w="1664" w:type="dxa"/>
            <w:tcBorders>
              <w:top w:val="single" w:sz="4" w:space="0" w:color="auto"/>
              <w:bottom w:val="single" w:sz="4" w:space="0" w:color="auto"/>
            </w:tcBorders>
          </w:tcPr>
          <w:p w14:paraId="7F0C71ED"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12.995</w:t>
            </w:r>
          </w:p>
        </w:tc>
        <w:tc>
          <w:tcPr>
            <w:tcW w:w="830" w:type="dxa"/>
            <w:tcBorders>
              <w:top w:val="single" w:sz="4" w:space="0" w:color="auto"/>
              <w:bottom w:val="single" w:sz="4" w:space="0" w:color="auto"/>
            </w:tcBorders>
          </w:tcPr>
          <w:p w14:paraId="1B7B9559"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5</w:t>
            </w:r>
          </w:p>
        </w:tc>
        <w:tc>
          <w:tcPr>
            <w:tcW w:w="1721" w:type="dxa"/>
            <w:tcBorders>
              <w:top w:val="single" w:sz="4" w:space="0" w:color="auto"/>
              <w:bottom w:val="single" w:sz="4" w:space="0" w:color="auto"/>
            </w:tcBorders>
          </w:tcPr>
          <w:p w14:paraId="6F1D41BC"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2.599</w:t>
            </w:r>
          </w:p>
        </w:tc>
        <w:tc>
          <w:tcPr>
            <w:tcW w:w="1276" w:type="dxa"/>
            <w:tcBorders>
              <w:top w:val="single" w:sz="4" w:space="0" w:color="auto"/>
              <w:bottom w:val="single" w:sz="4" w:space="0" w:color="auto"/>
            </w:tcBorders>
          </w:tcPr>
          <w:p w14:paraId="506FB14C"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1.889</w:t>
            </w:r>
          </w:p>
        </w:tc>
        <w:tc>
          <w:tcPr>
            <w:tcW w:w="1559" w:type="dxa"/>
            <w:tcBorders>
              <w:top w:val="single" w:sz="4" w:space="0" w:color="auto"/>
              <w:bottom w:val="single" w:sz="4" w:space="0" w:color="auto"/>
            </w:tcBorders>
          </w:tcPr>
          <w:p w14:paraId="67F18EF1"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0.028</w:t>
            </w:r>
          </w:p>
        </w:tc>
      </w:tr>
      <w:tr w:rsidR="00EB3DCB" w:rsidRPr="00EB3DCB" w14:paraId="24F8235B" w14:textId="77777777" w:rsidTr="003318AA">
        <w:trPr>
          <w:cantSplit/>
        </w:trPr>
        <w:tc>
          <w:tcPr>
            <w:tcW w:w="733" w:type="dxa"/>
            <w:vMerge/>
            <w:tcBorders>
              <w:top w:val="single" w:sz="4" w:space="0" w:color="auto"/>
              <w:bottom w:val="single" w:sz="4" w:space="0" w:color="auto"/>
            </w:tcBorders>
          </w:tcPr>
          <w:p w14:paraId="28FEF99C" w14:textId="77777777" w:rsidR="00EB3DCB" w:rsidRPr="00EB3DCB" w:rsidRDefault="00EB3DCB" w:rsidP="00EB3DCB">
            <w:pPr>
              <w:spacing w:after="0" w:line="240" w:lineRule="auto"/>
              <w:jc w:val="center"/>
              <w:rPr>
                <w:color w:val="000000" w:themeColor="text1"/>
                <w:lang w:val="en-US"/>
              </w:rPr>
            </w:pPr>
          </w:p>
        </w:tc>
        <w:tc>
          <w:tcPr>
            <w:tcW w:w="1284" w:type="dxa"/>
            <w:tcBorders>
              <w:top w:val="single" w:sz="4" w:space="0" w:color="auto"/>
              <w:bottom w:val="single" w:sz="4" w:space="0" w:color="auto"/>
            </w:tcBorders>
          </w:tcPr>
          <w:p w14:paraId="58BA9403" w14:textId="77777777" w:rsidR="00EB3DCB" w:rsidRPr="00EB3DCB" w:rsidRDefault="00EB3DCB" w:rsidP="00EB3DCB">
            <w:pPr>
              <w:spacing w:after="0" w:line="240" w:lineRule="auto"/>
              <w:rPr>
                <w:color w:val="000000" w:themeColor="text1"/>
                <w:lang w:val="en-US"/>
              </w:rPr>
            </w:pPr>
            <w:r w:rsidRPr="00EB3DCB">
              <w:rPr>
                <w:color w:val="000000" w:themeColor="text1"/>
                <w:lang w:val="en-US"/>
              </w:rPr>
              <w:t>Residual</w:t>
            </w:r>
          </w:p>
        </w:tc>
        <w:tc>
          <w:tcPr>
            <w:tcW w:w="1664" w:type="dxa"/>
            <w:tcBorders>
              <w:top w:val="single" w:sz="4" w:space="0" w:color="auto"/>
              <w:bottom w:val="single" w:sz="4" w:space="0" w:color="auto"/>
            </w:tcBorders>
          </w:tcPr>
          <w:p w14:paraId="08CD15BA"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5.505</w:t>
            </w:r>
          </w:p>
        </w:tc>
        <w:tc>
          <w:tcPr>
            <w:tcW w:w="830" w:type="dxa"/>
            <w:tcBorders>
              <w:top w:val="single" w:sz="4" w:space="0" w:color="auto"/>
              <w:bottom w:val="single" w:sz="4" w:space="0" w:color="auto"/>
            </w:tcBorders>
          </w:tcPr>
          <w:p w14:paraId="3EC743DB"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4</w:t>
            </w:r>
          </w:p>
        </w:tc>
        <w:tc>
          <w:tcPr>
            <w:tcW w:w="1721" w:type="dxa"/>
            <w:tcBorders>
              <w:top w:val="single" w:sz="4" w:space="0" w:color="auto"/>
              <w:bottom w:val="single" w:sz="4" w:space="0" w:color="auto"/>
            </w:tcBorders>
          </w:tcPr>
          <w:p w14:paraId="7D8306BD"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1.376</w:t>
            </w:r>
          </w:p>
        </w:tc>
        <w:tc>
          <w:tcPr>
            <w:tcW w:w="1276" w:type="dxa"/>
            <w:tcBorders>
              <w:top w:val="single" w:sz="4" w:space="0" w:color="auto"/>
              <w:bottom w:val="single" w:sz="4" w:space="0" w:color="auto"/>
            </w:tcBorders>
            <w:vAlign w:val="center"/>
          </w:tcPr>
          <w:p w14:paraId="26A68D3A" w14:textId="77777777" w:rsidR="00EB3DCB" w:rsidRPr="00EB3DCB" w:rsidRDefault="00EB3DCB" w:rsidP="00EB3DCB">
            <w:pPr>
              <w:spacing w:after="0" w:line="240" w:lineRule="auto"/>
              <w:jc w:val="center"/>
              <w:rPr>
                <w:color w:val="000000" w:themeColor="text1"/>
                <w:lang w:val="en-US"/>
              </w:rPr>
            </w:pPr>
          </w:p>
        </w:tc>
        <w:tc>
          <w:tcPr>
            <w:tcW w:w="1559" w:type="dxa"/>
            <w:tcBorders>
              <w:top w:val="single" w:sz="4" w:space="0" w:color="auto"/>
              <w:bottom w:val="single" w:sz="4" w:space="0" w:color="auto"/>
            </w:tcBorders>
            <w:vAlign w:val="center"/>
          </w:tcPr>
          <w:p w14:paraId="5E84BA9E" w14:textId="77777777" w:rsidR="00EB3DCB" w:rsidRPr="00EB3DCB" w:rsidRDefault="00EB3DCB" w:rsidP="00EB3DCB">
            <w:pPr>
              <w:spacing w:after="0" w:line="240" w:lineRule="auto"/>
              <w:jc w:val="center"/>
              <w:rPr>
                <w:color w:val="000000" w:themeColor="text1"/>
                <w:lang w:val="en-US"/>
              </w:rPr>
            </w:pPr>
          </w:p>
        </w:tc>
      </w:tr>
      <w:tr w:rsidR="00EB3DCB" w:rsidRPr="00EB3DCB" w14:paraId="05904A93" w14:textId="77777777" w:rsidTr="003318AA">
        <w:trPr>
          <w:cantSplit/>
        </w:trPr>
        <w:tc>
          <w:tcPr>
            <w:tcW w:w="733" w:type="dxa"/>
            <w:vMerge/>
            <w:tcBorders>
              <w:top w:val="single" w:sz="4" w:space="0" w:color="auto"/>
              <w:bottom w:val="single" w:sz="4" w:space="0" w:color="auto"/>
            </w:tcBorders>
          </w:tcPr>
          <w:p w14:paraId="5E71195F" w14:textId="77777777" w:rsidR="00EB3DCB" w:rsidRPr="00EB3DCB" w:rsidRDefault="00EB3DCB" w:rsidP="00EB3DCB">
            <w:pPr>
              <w:spacing w:after="0" w:line="240" w:lineRule="auto"/>
              <w:jc w:val="center"/>
              <w:rPr>
                <w:color w:val="000000" w:themeColor="text1"/>
                <w:lang w:val="en-US"/>
              </w:rPr>
            </w:pPr>
          </w:p>
        </w:tc>
        <w:tc>
          <w:tcPr>
            <w:tcW w:w="1284" w:type="dxa"/>
            <w:tcBorders>
              <w:top w:val="single" w:sz="4" w:space="0" w:color="auto"/>
              <w:bottom w:val="single" w:sz="4" w:space="0" w:color="auto"/>
            </w:tcBorders>
          </w:tcPr>
          <w:p w14:paraId="33E73E02" w14:textId="77777777" w:rsidR="00EB3DCB" w:rsidRPr="00EB3DCB" w:rsidRDefault="00EB3DCB" w:rsidP="00EB3DCB">
            <w:pPr>
              <w:spacing w:after="0" w:line="240" w:lineRule="auto"/>
              <w:rPr>
                <w:color w:val="000000" w:themeColor="text1"/>
                <w:lang w:val="en-US"/>
              </w:rPr>
            </w:pPr>
            <w:r w:rsidRPr="00EB3DCB">
              <w:rPr>
                <w:color w:val="000000" w:themeColor="text1"/>
                <w:lang w:val="en-US"/>
              </w:rPr>
              <w:t>Total</w:t>
            </w:r>
          </w:p>
        </w:tc>
        <w:tc>
          <w:tcPr>
            <w:tcW w:w="1664" w:type="dxa"/>
            <w:tcBorders>
              <w:top w:val="single" w:sz="4" w:space="0" w:color="auto"/>
              <w:bottom w:val="single" w:sz="4" w:space="0" w:color="auto"/>
            </w:tcBorders>
          </w:tcPr>
          <w:p w14:paraId="4942AD2A"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18.500</w:t>
            </w:r>
          </w:p>
        </w:tc>
        <w:tc>
          <w:tcPr>
            <w:tcW w:w="830" w:type="dxa"/>
            <w:tcBorders>
              <w:top w:val="single" w:sz="4" w:space="0" w:color="auto"/>
              <w:bottom w:val="single" w:sz="4" w:space="0" w:color="auto"/>
            </w:tcBorders>
          </w:tcPr>
          <w:p w14:paraId="1DFA0751"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9</w:t>
            </w:r>
          </w:p>
        </w:tc>
        <w:tc>
          <w:tcPr>
            <w:tcW w:w="1721" w:type="dxa"/>
            <w:tcBorders>
              <w:top w:val="single" w:sz="4" w:space="0" w:color="auto"/>
              <w:bottom w:val="single" w:sz="4" w:space="0" w:color="auto"/>
            </w:tcBorders>
            <w:vAlign w:val="center"/>
          </w:tcPr>
          <w:p w14:paraId="1BF766D9" w14:textId="77777777" w:rsidR="00EB3DCB" w:rsidRPr="00EB3DCB" w:rsidRDefault="00EB3DCB" w:rsidP="00EB3DCB">
            <w:pPr>
              <w:spacing w:after="0" w:line="240" w:lineRule="auto"/>
              <w:jc w:val="center"/>
              <w:rPr>
                <w:color w:val="000000" w:themeColor="text1"/>
                <w:lang w:val="en-US"/>
              </w:rPr>
            </w:pPr>
          </w:p>
        </w:tc>
        <w:tc>
          <w:tcPr>
            <w:tcW w:w="1276" w:type="dxa"/>
            <w:tcBorders>
              <w:top w:val="single" w:sz="4" w:space="0" w:color="auto"/>
              <w:bottom w:val="single" w:sz="4" w:space="0" w:color="auto"/>
            </w:tcBorders>
            <w:vAlign w:val="center"/>
          </w:tcPr>
          <w:p w14:paraId="7D31640D" w14:textId="77777777" w:rsidR="00EB3DCB" w:rsidRPr="00EB3DCB" w:rsidRDefault="00EB3DCB" w:rsidP="00EB3DCB">
            <w:pPr>
              <w:spacing w:after="0" w:line="240" w:lineRule="auto"/>
              <w:jc w:val="center"/>
              <w:rPr>
                <w:color w:val="000000" w:themeColor="text1"/>
                <w:lang w:val="en-US"/>
              </w:rPr>
            </w:pPr>
          </w:p>
        </w:tc>
        <w:tc>
          <w:tcPr>
            <w:tcW w:w="1559" w:type="dxa"/>
            <w:tcBorders>
              <w:top w:val="single" w:sz="4" w:space="0" w:color="auto"/>
              <w:bottom w:val="single" w:sz="4" w:space="0" w:color="auto"/>
            </w:tcBorders>
            <w:vAlign w:val="center"/>
          </w:tcPr>
          <w:p w14:paraId="6AD84307" w14:textId="77777777" w:rsidR="00EB3DCB" w:rsidRPr="00EB3DCB" w:rsidRDefault="00EB3DCB" w:rsidP="00EB3DCB">
            <w:pPr>
              <w:spacing w:after="0" w:line="240" w:lineRule="auto"/>
              <w:jc w:val="center"/>
              <w:rPr>
                <w:color w:val="000000" w:themeColor="text1"/>
                <w:lang w:val="en-US"/>
              </w:rPr>
            </w:pPr>
          </w:p>
        </w:tc>
      </w:tr>
      <w:tr w:rsidR="00EB3DCB" w:rsidRPr="00EB3DCB" w14:paraId="37EFC573" w14:textId="77777777" w:rsidTr="003318AA">
        <w:trPr>
          <w:cantSplit/>
        </w:trPr>
        <w:tc>
          <w:tcPr>
            <w:tcW w:w="9067" w:type="dxa"/>
            <w:gridSpan w:val="7"/>
            <w:tcBorders>
              <w:top w:val="single" w:sz="4" w:space="0" w:color="auto"/>
              <w:bottom w:val="single" w:sz="4" w:space="0" w:color="auto"/>
            </w:tcBorders>
          </w:tcPr>
          <w:p w14:paraId="0B899397" w14:textId="77777777" w:rsidR="00EB3DCB" w:rsidRPr="00EB3DCB" w:rsidRDefault="00EB3DCB" w:rsidP="00EB3DCB">
            <w:pPr>
              <w:spacing w:after="0" w:line="240" w:lineRule="auto"/>
              <w:rPr>
                <w:color w:val="000000" w:themeColor="text1"/>
                <w:lang w:val="en-US"/>
              </w:rPr>
            </w:pPr>
            <w:r w:rsidRPr="00EB3DCB">
              <w:rPr>
                <w:color w:val="000000" w:themeColor="text1"/>
                <w:lang w:val="en-US"/>
              </w:rPr>
              <w:t>a. Dependent Variable: Y</w:t>
            </w:r>
          </w:p>
        </w:tc>
      </w:tr>
      <w:tr w:rsidR="00EB3DCB" w:rsidRPr="00EB3DCB" w14:paraId="52E93ADA" w14:textId="77777777" w:rsidTr="003318AA">
        <w:trPr>
          <w:cantSplit/>
        </w:trPr>
        <w:tc>
          <w:tcPr>
            <w:tcW w:w="9067" w:type="dxa"/>
            <w:gridSpan w:val="7"/>
            <w:tcBorders>
              <w:top w:val="single" w:sz="4" w:space="0" w:color="auto"/>
              <w:bottom w:val="single" w:sz="4" w:space="0" w:color="auto"/>
            </w:tcBorders>
          </w:tcPr>
          <w:p w14:paraId="04768C19" w14:textId="77777777" w:rsidR="00EB3DCB" w:rsidRPr="00EB3DCB" w:rsidRDefault="00EB3DCB" w:rsidP="00EB3DCB">
            <w:pPr>
              <w:spacing w:after="0" w:line="240" w:lineRule="auto"/>
              <w:rPr>
                <w:color w:val="000000" w:themeColor="text1"/>
                <w:lang w:val="en-US"/>
              </w:rPr>
            </w:pPr>
            <w:r w:rsidRPr="00EB3DCB">
              <w:rPr>
                <w:color w:val="000000" w:themeColor="text1"/>
                <w:lang w:val="en-US"/>
              </w:rPr>
              <w:t>b. Predictors: (Constant), X</w:t>
            </w:r>
            <w:r w:rsidRPr="00EB3DCB">
              <w:rPr>
                <w:color w:val="000000" w:themeColor="text1"/>
                <w:vertAlign w:val="subscript"/>
                <w:lang w:val="en-US"/>
              </w:rPr>
              <w:t>1</w:t>
            </w:r>
            <w:r w:rsidRPr="00EB3DCB">
              <w:rPr>
                <w:color w:val="000000" w:themeColor="text1"/>
                <w:lang w:val="en-US"/>
              </w:rPr>
              <w:t>, X</w:t>
            </w:r>
            <w:r w:rsidRPr="00EB3DCB">
              <w:rPr>
                <w:color w:val="000000" w:themeColor="text1"/>
                <w:vertAlign w:val="subscript"/>
                <w:lang w:val="en-US"/>
              </w:rPr>
              <w:t>2</w:t>
            </w:r>
            <w:r w:rsidRPr="00EB3DCB">
              <w:rPr>
                <w:color w:val="000000" w:themeColor="text1"/>
                <w:lang w:val="en-US"/>
              </w:rPr>
              <w:t>, X</w:t>
            </w:r>
            <w:r w:rsidRPr="00EB3DCB">
              <w:rPr>
                <w:color w:val="000000" w:themeColor="text1"/>
                <w:vertAlign w:val="subscript"/>
                <w:lang w:val="en-US"/>
              </w:rPr>
              <w:t>3</w:t>
            </w:r>
            <w:r w:rsidRPr="00EB3DCB">
              <w:rPr>
                <w:color w:val="000000" w:themeColor="text1"/>
                <w:lang w:val="en-US"/>
              </w:rPr>
              <w:t>, X</w:t>
            </w:r>
            <w:r w:rsidRPr="00EB3DCB">
              <w:rPr>
                <w:color w:val="000000" w:themeColor="text1"/>
                <w:vertAlign w:val="subscript"/>
                <w:lang w:val="en-US"/>
              </w:rPr>
              <w:t>4</w:t>
            </w:r>
            <w:r w:rsidRPr="00EB3DCB">
              <w:rPr>
                <w:color w:val="000000" w:themeColor="text1"/>
                <w:lang w:val="en-US"/>
              </w:rPr>
              <w:t>, X</w:t>
            </w:r>
            <w:r w:rsidRPr="00EB3DCB">
              <w:rPr>
                <w:color w:val="000000" w:themeColor="text1"/>
                <w:vertAlign w:val="subscript"/>
                <w:lang w:val="en-US"/>
              </w:rPr>
              <w:t>5</w:t>
            </w:r>
          </w:p>
        </w:tc>
      </w:tr>
    </w:tbl>
    <w:p w14:paraId="2A4CA0B3" w14:textId="77777777" w:rsidR="00C6661A" w:rsidRDefault="00C6661A" w:rsidP="00C6661A">
      <w:pPr>
        <w:spacing w:after="0" w:line="240" w:lineRule="auto"/>
        <w:jc w:val="both"/>
        <w:rPr>
          <w:color w:val="000000" w:themeColor="text1"/>
          <w:lang w:val="en-US"/>
        </w:rPr>
      </w:pPr>
    </w:p>
    <w:p w14:paraId="588397A2" w14:textId="77777777" w:rsidR="00EB3DCB" w:rsidRPr="00EB3DCB" w:rsidRDefault="00EB3DCB" w:rsidP="00C6661A">
      <w:pPr>
        <w:spacing w:after="0" w:line="240" w:lineRule="auto"/>
        <w:jc w:val="both"/>
        <w:rPr>
          <w:color w:val="000000" w:themeColor="text1"/>
          <w:lang w:val="id-ID"/>
        </w:rPr>
      </w:pPr>
      <w:r w:rsidRPr="00EB3DCB">
        <w:rPr>
          <w:color w:val="000000" w:themeColor="text1"/>
          <w:lang w:val="id-ID"/>
        </w:rPr>
        <w:t>Berdasarkan hasil uji ANOVA, diperoleh nilai F sebesar 1.889 dengan nilai signifikansi 0.028. Karena nilai signifikansi lebih kecil dari 0.05, maka dapat disimpulkan bahwa model regresi yang digunakan signifikan secara statistik. Artinya, variabel X</w:t>
      </w:r>
      <w:r w:rsidRPr="00EB3DCB">
        <w:rPr>
          <w:color w:val="000000" w:themeColor="text1"/>
          <w:vertAlign w:val="subscript"/>
          <w:lang w:val="id-ID"/>
        </w:rPr>
        <w:t>1</w:t>
      </w:r>
      <w:r w:rsidRPr="00EB3DCB">
        <w:rPr>
          <w:color w:val="000000" w:themeColor="text1"/>
          <w:lang w:val="id-ID"/>
        </w:rPr>
        <w:t>, X</w:t>
      </w:r>
      <w:r w:rsidRPr="00EB3DCB">
        <w:rPr>
          <w:color w:val="000000" w:themeColor="text1"/>
          <w:vertAlign w:val="subscript"/>
          <w:lang w:val="id-ID"/>
        </w:rPr>
        <w:t>2</w:t>
      </w:r>
      <w:r w:rsidRPr="00EB3DCB">
        <w:rPr>
          <w:color w:val="000000" w:themeColor="text1"/>
          <w:lang w:val="id-ID"/>
        </w:rPr>
        <w:t>, X</w:t>
      </w:r>
      <w:r w:rsidRPr="00EB3DCB">
        <w:rPr>
          <w:color w:val="000000" w:themeColor="text1"/>
          <w:vertAlign w:val="subscript"/>
          <w:lang w:val="id-ID"/>
        </w:rPr>
        <w:t>3</w:t>
      </w:r>
      <w:r w:rsidRPr="00EB3DCB">
        <w:rPr>
          <w:color w:val="000000" w:themeColor="text1"/>
          <w:lang w:val="id-ID"/>
        </w:rPr>
        <w:t>, X</w:t>
      </w:r>
      <w:r w:rsidRPr="00EB3DCB">
        <w:rPr>
          <w:color w:val="000000" w:themeColor="text1"/>
          <w:vertAlign w:val="subscript"/>
          <w:lang w:val="id-ID"/>
        </w:rPr>
        <w:t>4</w:t>
      </w:r>
      <w:r w:rsidRPr="00EB3DCB">
        <w:rPr>
          <w:color w:val="000000" w:themeColor="text1"/>
          <w:lang w:val="id-ID"/>
        </w:rPr>
        <w:t>, dan X</w:t>
      </w:r>
      <w:r w:rsidRPr="00EB3DCB">
        <w:rPr>
          <w:color w:val="000000" w:themeColor="text1"/>
          <w:vertAlign w:val="subscript"/>
          <w:lang w:val="id-ID"/>
        </w:rPr>
        <w:t>5</w:t>
      </w:r>
      <w:r w:rsidRPr="00EB3DCB">
        <w:rPr>
          <w:color w:val="000000" w:themeColor="text1"/>
          <w:lang w:val="id-ID"/>
        </w:rPr>
        <w:t xml:space="preserve"> secara bersama-sama berpengaruh signifikan terhadap variabel dependen Y.</w:t>
      </w:r>
    </w:p>
    <w:p w14:paraId="027DA870" w14:textId="77777777" w:rsidR="00C6661A" w:rsidRDefault="00C6661A" w:rsidP="00C6661A">
      <w:pPr>
        <w:spacing w:after="0" w:line="240" w:lineRule="auto"/>
        <w:jc w:val="both"/>
        <w:rPr>
          <w:color w:val="000000" w:themeColor="text1"/>
          <w:lang w:val="en-US"/>
        </w:rPr>
      </w:pPr>
    </w:p>
    <w:p w14:paraId="5E061CD8" w14:textId="77777777" w:rsidR="00C6661A" w:rsidRPr="00C6661A" w:rsidRDefault="00C6661A" w:rsidP="00C6661A">
      <w:pPr>
        <w:spacing w:after="0" w:line="240" w:lineRule="auto"/>
        <w:jc w:val="both"/>
        <w:rPr>
          <w:b/>
          <w:color w:val="000000" w:themeColor="text1"/>
          <w:lang w:val="en-US"/>
        </w:rPr>
      </w:pPr>
      <w:r w:rsidRPr="00C6661A">
        <w:rPr>
          <w:b/>
          <w:color w:val="000000" w:themeColor="text1"/>
          <w:lang w:val="en-US"/>
        </w:rPr>
        <w:t>Uji t</w:t>
      </w:r>
    </w:p>
    <w:p w14:paraId="4B5D04E8" w14:textId="2B8D6DD3" w:rsidR="00EB3DCB" w:rsidRPr="00EB3DCB" w:rsidRDefault="00EB3DCB" w:rsidP="00C6661A">
      <w:pPr>
        <w:spacing w:after="0" w:line="240" w:lineRule="auto"/>
        <w:jc w:val="both"/>
        <w:rPr>
          <w:color w:val="000000" w:themeColor="text1"/>
          <w:lang w:val="id-ID"/>
        </w:rPr>
      </w:pPr>
      <w:r w:rsidRPr="00EB3DCB">
        <w:rPr>
          <w:color w:val="000000" w:themeColor="text1"/>
          <w:lang w:val="id-ID"/>
        </w:rPr>
        <w:t>Uji t digunakan untuk mengetahui apakah masing-masing variabel independen (X</w:t>
      </w:r>
      <w:r w:rsidRPr="00EB3DCB">
        <w:rPr>
          <w:color w:val="000000" w:themeColor="text1"/>
          <w:vertAlign w:val="subscript"/>
          <w:lang w:val="id-ID"/>
        </w:rPr>
        <w:t>1</w:t>
      </w:r>
      <w:r w:rsidRPr="00EB3DCB">
        <w:rPr>
          <w:color w:val="000000" w:themeColor="text1"/>
          <w:lang w:val="id-ID"/>
        </w:rPr>
        <w:t>, X</w:t>
      </w:r>
      <w:r w:rsidRPr="00EB3DCB">
        <w:rPr>
          <w:color w:val="000000" w:themeColor="text1"/>
          <w:vertAlign w:val="subscript"/>
          <w:lang w:val="id-ID"/>
        </w:rPr>
        <w:t>2</w:t>
      </w:r>
      <w:r w:rsidRPr="00EB3DCB">
        <w:rPr>
          <w:color w:val="000000" w:themeColor="text1"/>
          <w:lang w:val="id-ID"/>
        </w:rPr>
        <w:t>, X</w:t>
      </w:r>
      <w:r w:rsidRPr="00EB3DCB">
        <w:rPr>
          <w:color w:val="000000" w:themeColor="text1"/>
          <w:vertAlign w:val="subscript"/>
          <w:lang w:val="id-ID"/>
        </w:rPr>
        <w:t>3</w:t>
      </w:r>
      <w:r w:rsidRPr="00EB3DCB">
        <w:rPr>
          <w:color w:val="000000" w:themeColor="text1"/>
          <w:lang w:val="id-ID"/>
        </w:rPr>
        <w:t>, X</w:t>
      </w:r>
      <w:r w:rsidRPr="00EB3DCB">
        <w:rPr>
          <w:color w:val="000000" w:themeColor="text1"/>
          <w:vertAlign w:val="subscript"/>
          <w:lang w:val="id-ID"/>
        </w:rPr>
        <w:t>4</w:t>
      </w:r>
      <w:r w:rsidRPr="00EB3DCB">
        <w:rPr>
          <w:color w:val="000000" w:themeColor="text1"/>
          <w:lang w:val="id-ID"/>
        </w:rPr>
        <w:t>, X</w:t>
      </w:r>
      <w:r w:rsidRPr="00EB3DCB">
        <w:rPr>
          <w:color w:val="000000" w:themeColor="text1"/>
          <w:vertAlign w:val="subscript"/>
          <w:lang w:val="id-ID"/>
        </w:rPr>
        <w:t>5</w:t>
      </w:r>
      <w:r w:rsidRPr="00EB3DCB">
        <w:rPr>
          <w:color w:val="000000" w:themeColor="text1"/>
          <w:lang w:val="id-ID"/>
        </w:rPr>
        <w:t>) berpengaruh secara parsial terhadap variabel dependen Y.</w:t>
      </w:r>
    </w:p>
    <w:p w14:paraId="6BBB0BF2" w14:textId="77777777" w:rsidR="00C6661A" w:rsidRDefault="00C6661A" w:rsidP="00EB3DCB">
      <w:pPr>
        <w:spacing w:after="0" w:line="240" w:lineRule="auto"/>
        <w:contextualSpacing/>
        <w:jc w:val="both"/>
        <w:rPr>
          <w:b/>
          <w:bCs/>
          <w:color w:val="000000" w:themeColor="text1"/>
          <w:lang w:val="en-US"/>
        </w:rPr>
      </w:pPr>
    </w:p>
    <w:p w14:paraId="4A921711" w14:textId="00F49C49" w:rsidR="00EB3DCB" w:rsidRPr="00EB3DCB" w:rsidRDefault="00EB3DCB" w:rsidP="00EB3DCB">
      <w:pPr>
        <w:spacing w:after="0" w:line="240" w:lineRule="auto"/>
        <w:contextualSpacing/>
        <w:jc w:val="both"/>
        <w:rPr>
          <w:b/>
          <w:bCs/>
          <w:color w:val="000000" w:themeColor="text1"/>
          <w:lang w:val="id-ID"/>
        </w:rPr>
      </w:pPr>
      <w:r w:rsidRPr="00EB3DCB">
        <w:rPr>
          <w:b/>
          <w:bCs/>
          <w:color w:val="000000" w:themeColor="text1"/>
          <w:lang w:val="id-ID"/>
        </w:rPr>
        <w:t xml:space="preserve">Tabel </w:t>
      </w:r>
      <w:r w:rsidR="00EB4B92">
        <w:rPr>
          <w:b/>
          <w:bCs/>
          <w:color w:val="000000" w:themeColor="text1"/>
          <w:lang w:val="id-ID"/>
        </w:rPr>
        <w:t>6</w:t>
      </w:r>
      <w:r w:rsidRPr="00EB3DCB">
        <w:rPr>
          <w:b/>
          <w:bCs/>
          <w:color w:val="000000" w:themeColor="text1"/>
          <w:lang w:val="id-ID"/>
        </w:rPr>
        <w:t>. Uji t (Parsial)</w:t>
      </w:r>
    </w:p>
    <w:p w14:paraId="618BB865" w14:textId="77777777" w:rsidR="00EB3DCB" w:rsidRPr="00C6661A" w:rsidRDefault="00EB3DCB" w:rsidP="00EB3DCB">
      <w:pPr>
        <w:spacing w:after="0" w:line="240" w:lineRule="auto"/>
        <w:jc w:val="both"/>
        <w:rPr>
          <w:b/>
          <w:color w:val="000000" w:themeColor="text1"/>
          <w:lang w:val="id-ID"/>
        </w:rPr>
      </w:pPr>
      <w:r w:rsidRPr="00C6661A">
        <w:rPr>
          <w:b/>
          <w:color w:val="000000" w:themeColor="text1"/>
          <w:lang w:val="id-ID"/>
        </w:rPr>
        <w:t>Coefficients</w:t>
      </w:r>
    </w:p>
    <w:tbl>
      <w:tblPr>
        <w:tblW w:w="9067"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33"/>
        <w:gridCol w:w="1178"/>
        <w:gridCol w:w="1331"/>
        <w:gridCol w:w="1573"/>
        <w:gridCol w:w="1701"/>
        <w:gridCol w:w="1134"/>
        <w:gridCol w:w="1417"/>
      </w:tblGrid>
      <w:tr w:rsidR="00EB3DCB" w:rsidRPr="00EB3DCB" w14:paraId="6C0DCFDF" w14:textId="77777777" w:rsidTr="003318AA">
        <w:trPr>
          <w:cantSplit/>
        </w:trPr>
        <w:tc>
          <w:tcPr>
            <w:tcW w:w="1911" w:type="dxa"/>
            <w:gridSpan w:val="2"/>
            <w:vMerge w:val="restart"/>
            <w:vAlign w:val="bottom"/>
          </w:tcPr>
          <w:p w14:paraId="482DF6FF"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Model</w:t>
            </w:r>
          </w:p>
        </w:tc>
        <w:tc>
          <w:tcPr>
            <w:tcW w:w="2904" w:type="dxa"/>
            <w:gridSpan w:val="2"/>
            <w:vAlign w:val="bottom"/>
          </w:tcPr>
          <w:p w14:paraId="26697B97"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Unstandardized Coefficients</w:t>
            </w:r>
          </w:p>
        </w:tc>
        <w:tc>
          <w:tcPr>
            <w:tcW w:w="1701" w:type="dxa"/>
            <w:vAlign w:val="bottom"/>
          </w:tcPr>
          <w:p w14:paraId="37B7195C"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Standardized Coefficients</w:t>
            </w:r>
          </w:p>
        </w:tc>
        <w:tc>
          <w:tcPr>
            <w:tcW w:w="1134" w:type="dxa"/>
            <w:vMerge w:val="restart"/>
            <w:vAlign w:val="bottom"/>
          </w:tcPr>
          <w:p w14:paraId="0654BF88"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T</w:t>
            </w:r>
          </w:p>
        </w:tc>
        <w:tc>
          <w:tcPr>
            <w:tcW w:w="1417" w:type="dxa"/>
            <w:vMerge w:val="restart"/>
            <w:vAlign w:val="bottom"/>
          </w:tcPr>
          <w:p w14:paraId="7C448777"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Sig.</w:t>
            </w:r>
          </w:p>
        </w:tc>
      </w:tr>
      <w:tr w:rsidR="00EB3DCB" w:rsidRPr="00EB3DCB" w14:paraId="5E23BC9C" w14:textId="77777777" w:rsidTr="003318AA">
        <w:trPr>
          <w:cantSplit/>
        </w:trPr>
        <w:tc>
          <w:tcPr>
            <w:tcW w:w="1911" w:type="dxa"/>
            <w:gridSpan w:val="2"/>
            <w:vMerge/>
            <w:vAlign w:val="bottom"/>
          </w:tcPr>
          <w:p w14:paraId="68EC90BA" w14:textId="77777777" w:rsidR="00EB3DCB" w:rsidRPr="00EB3DCB" w:rsidRDefault="00EB3DCB" w:rsidP="00EB3DCB">
            <w:pPr>
              <w:spacing w:after="0" w:line="240" w:lineRule="auto"/>
              <w:jc w:val="both"/>
              <w:rPr>
                <w:color w:val="000000" w:themeColor="text1"/>
                <w:lang w:val="en-US"/>
              </w:rPr>
            </w:pPr>
          </w:p>
        </w:tc>
        <w:tc>
          <w:tcPr>
            <w:tcW w:w="1331" w:type="dxa"/>
            <w:vAlign w:val="bottom"/>
          </w:tcPr>
          <w:p w14:paraId="56790D01"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B</w:t>
            </w:r>
          </w:p>
        </w:tc>
        <w:tc>
          <w:tcPr>
            <w:tcW w:w="1573" w:type="dxa"/>
            <w:vAlign w:val="bottom"/>
          </w:tcPr>
          <w:p w14:paraId="7CF4CC9B"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Std. Error</w:t>
            </w:r>
          </w:p>
        </w:tc>
        <w:tc>
          <w:tcPr>
            <w:tcW w:w="1701" w:type="dxa"/>
            <w:vAlign w:val="bottom"/>
          </w:tcPr>
          <w:p w14:paraId="565A5011"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Beta</w:t>
            </w:r>
          </w:p>
        </w:tc>
        <w:tc>
          <w:tcPr>
            <w:tcW w:w="1134" w:type="dxa"/>
            <w:vMerge/>
            <w:vAlign w:val="bottom"/>
          </w:tcPr>
          <w:p w14:paraId="61BE7C75" w14:textId="77777777" w:rsidR="00EB3DCB" w:rsidRPr="00EB3DCB" w:rsidRDefault="00EB3DCB" w:rsidP="00EB3DCB">
            <w:pPr>
              <w:spacing w:after="0" w:line="240" w:lineRule="auto"/>
              <w:jc w:val="both"/>
              <w:rPr>
                <w:color w:val="000000" w:themeColor="text1"/>
                <w:lang w:val="en-US"/>
              </w:rPr>
            </w:pPr>
          </w:p>
        </w:tc>
        <w:tc>
          <w:tcPr>
            <w:tcW w:w="1417" w:type="dxa"/>
            <w:vMerge/>
            <w:vAlign w:val="bottom"/>
          </w:tcPr>
          <w:p w14:paraId="63B97E00" w14:textId="77777777" w:rsidR="00EB3DCB" w:rsidRPr="00EB3DCB" w:rsidRDefault="00EB3DCB" w:rsidP="00EB3DCB">
            <w:pPr>
              <w:spacing w:after="0" w:line="240" w:lineRule="auto"/>
              <w:jc w:val="both"/>
              <w:rPr>
                <w:color w:val="000000" w:themeColor="text1"/>
                <w:lang w:val="en-US"/>
              </w:rPr>
            </w:pPr>
          </w:p>
        </w:tc>
      </w:tr>
      <w:tr w:rsidR="00EB3DCB" w:rsidRPr="00EB3DCB" w14:paraId="57677C02" w14:textId="77777777" w:rsidTr="003318AA">
        <w:trPr>
          <w:cantSplit/>
        </w:trPr>
        <w:tc>
          <w:tcPr>
            <w:tcW w:w="733" w:type="dxa"/>
            <w:vMerge w:val="restart"/>
          </w:tcPr>
          <w:p w14:paraId="1C079B1E" w14:textId="77777777" w:rsidR="00EB3DCB" w:rsidRPr="00EB3DCB" w:rsidRDefault="00EB3DCB" w:rsidP="00EB3DCB">
            <w:pPr>
              <w:spacing w:after="0" w:line="240" w:lineRule="auto"/>
              <w:jc w:val="center"/>
              <w:rPr>
                <w:color w:val="000000" w:themeColor="text1"/>
                <w:lang w:val="en-US"/>
              </w:rPr>
            </w:pPr>
            <w:r w:rsidRPr="00EB3DCB">
              <w:rPr>
                <w:color w:val="000000" w:themeColor="text1"/>
                <w:lang w:val="en-US"/>
              </w:rPr>
              <w:t>1</w:t>
            </w:r>
          </w:p>
        </w:tc>
        <w:tc>
          <w:tcPr>
            <w:tcW w:w="1178" w:type="dxa"/>
          </w:tcPr>
          <w:p w14:paraId="6AD69DB2" w14:textId="77777777" w:rsidR="00EB3DCB" w:rsidRPr="00EB3DCB" w:rsidRDefault="00EB3DCB" w:rsidP="00EB3DCB">
            <w:pPr>
              <w:spacing w:after="0" w:line="240" w:lineRule="auto"/>
              <w:jc w:val="both"/>
              <w:rPr>
                <w:color w:val="000000" w:themeColor="text1"/>
                <w:lang w:val="en-US"/>
              </w:rPr>
            </w:pPr>
            <w:r w:rsidRPr="00EB3DCB">
              <w:rPr>
                <w:color w:val="000000" w:themeColor="text1"/>
                <w:lang w:val="en-US"/>
              </w:rPr>
              <w:t>(Constant)</w:t>
            </w:r>
          </w:p>
        </w:tc>
        <w:tc>
          <w:tcPr>
            <w:tcW w:w="1331" w:type="dxa"/>
          </w:tcPr>
          <w:p w14:paraId="466CA0A9" w14:textId="77777777" w:rsidR="00EB3DCB" w:rsidRPr="00EB3DCB" w:rsidRDefault="00EB3DCB" w:rsidP="00EB3DCB">
            <w:pPr>
              <w:spacing w:after="0" w:line="240" w:lineRule="auto"/>
              <w:ind w:right="116"/>
              <w:jc w:val="right"/>
              <w:rPr>
                <w:color w:val="000000" w:themeColor="text1"/>
                <w:lang w:val="en-US"/>
              </w:rPr>
            </w:pPr>
            <w:r w:rsidRPr="00EB3DCB">
              <w:rPr>
                <w:color w:val="000000" w:themeColor="text1"/>
                <w:lang w:val="en-US"/>
              </w:rPr>
              <w:t>22.115</w:t>
            </w:r>
          </w:p>
        </w:tc>
        <w:tc>
          <w:tcPr>
            <w:tcW w:w="1573" w:type="dxa"/>
          </w:tcPr>
          <w:p w14:paraId="505C5BEB" w14:textId="77777777" w:rsidR="00EB3DCB" w:rsidRPr="00EB3DCB" w:rsidRDefault="00EB3DCB" w:rsidP="00EB3DCB">
            <w:pPr>
              <w:spacing w:after="0" w:line="240" w:lineRule="auto"/>
              <w:ind w:right="187"/>
              <w:jc w:val="right"/>
              <w:rPr>
                <w:color w:val="000000" w:themeColor="text1"/>
                <w:lang w:val="en-US"/>
              </w:rPr>
            </w:pPr>
            <w:r w:rsidRPr="00EB3DCB">
              <w:rPr>
                <w:color w:val="000000" w:themeColor="text1"/>
                <w:lang w:val="en-US"/>
              </w:rPr>
              <w:t>8.565</w:t>
            </w:r>
          </w:p>
        </w:tc>
        <w:tc>
          <w:tcPr>
            <w:tcW w:w="1701" w:type="dxa"/>
            <w:vAlign w:val="center"/>
          </w:tcPr>
          <w:p w14:paraId="023F2F20" w14:textId="77777777" w:rsidR="00EB3DCB" w:rsidRPr="00EB3DCB" w:rsidRDefault="00EB3DCB" w:rsidP="00EB3DCB">
            <w:pPr>
              <w:spacing w:after="0" w:line="240" w:lineRule="auto"/>
              <w:ind w:left="96" w:right="229"/>
              <w:jc w:val="right"/>
              <w:rPr>
                <w:color w:val="000000" w:themeColor="text1"/>
                <w:lang w:val="en-US"/>
              </w:rPr>
            </w:pPr>
          </w:p>
        </w:tc>
        <w:tc>
          <w:tcPr>
            <w:tcW w:w="1134" w:type="dxa"/>
          </w:tcPr>
          <w:p w14:paraId="4CFF8F8D" w14:textId="77777777" w:rsidR="00EB3DCB" w:rsidRPr="00EB3DCB" w:rsidRDefault="00EB3DCB" w:rsidP="00EB3DCB">
            <w:pPr>
              <w:spacing w:after="0" w:line="240" w:lineRule="auto"/>
              <w:ind w:left="96" w:right="229"/>
              <w:jc w:val="right"/>
              <w:rPr>
                <w:color w:val="000000" w:themeColor="text1"/>
                <w:lang w:val="en-US"/>
              </w:rPr>
            </w:pPr>
            <w:r w:rsidRPr="00EB3DCB">
              <w:rPr>
                <w:color w:val="000000" w:themeColor="text1"/>
                <w:lang w:val="en-US"/>
              </w:rPr>
              <w:t>2.582</w:t>
            </w:r>
          </w:p>
        </w:tc>
        <w:tc>
          <w:tcPr>
            <w:tcW w:w="1417" w:type="dxa"/>
          </w:tcPr>
          <w:p w14:paraId="03330585" w14:textId="77777777" w:rsidR="00EB3DCB" w:rsidRPr="00EB3DCB" w:rsidRDefault="00EB3DCB" w:rsidP="00EB3DCB">
            <w:pPr>
              <w:spacing w:after="0" w:line="240" w:lineRule="auto"/>
              <w:ind w:right="187"/>
              <w:jc w:val="right"/>
              <w:rPr>
                <w:color w:val="000000" w:themeColor="text1"/>
                <w:lang w:val="en-US"/>
              </w:rPr>
            </w:pPr>
            <w:r w:rsidRPr="00EB3DCB">
              <w:rPr>
                <w:color w:val="000000" w:themeColor="text1"/>
                <w:lang w:val="en-US"/>
              </w:rPr>
              <w:t>.061</w:t>
            </w:r>
          </w:p>
        </w:tc>
      </w:tr>
      <w:tr w:rsidR="00EB3DCB" w:rsidRPr="00EB3DCB" w14:paraId="084EC563" w14:textId="77777777" w:rsidTr="003318AA">
        <w:trPr>
          <w:cantSplit/>
        </w:trPr>
        <w:tc>
          <w:tcPr>
            <w:tcW w:w="733" w:type="dxa"/>
            <w:vMerge/>
          </w:tcPr>
          <w:p w14:paraId="380D3784" w14:textId="77777777" w:rsidR="00EB3DCB" w:rsidRPr="00EB3DCB" w:rsidRDefault="00EB3DCB" w:rsidP="00EB3DCB">
            <w:pPr>
              <w:spacing w:after="0" w:line="240" w:lineRule="auto"/>
              <w:jc w:val="both"/>
              <w:rPr>
                <w:color w:val="000000" w:themeColor="text1"/>
                <w:lang w:val="en-US"/>
              </w:rPr>
            </w:pPr>
          </w:p>
        </w:tc>
        <w:tc>
          <w:tcPr>
            <w:tcW w:w="1178" w:type="dxa"/>
          </w:tcPr>
          <w:p w14:paraId="6E1784D0" w14:textId="77777777" w:rsidR="00EB3DCB" w:rsidRPr="00EB3DCB" w:rsidRDefault="00EB3DCB" w:rsidP="00EB3DCB">
            <w:pPr>
              <w:spacing w:after="0" w:line="240" w:lineRule="auto"/>
              <w:jc w:val="center"/>
              <w:rPr>
                <w:color w:val="000000" w:themeColor="text1"/>
                <w:vertAlign w:val="subscript"/>
                <w:lang w:val="en-US"/>
              </w:rPr>
            </w:pPr>
            <w:r w:rsidRPr="00EB3DCB">
              <w:rPr>
                <w:color w:val="000000" w:themeColor="text1"/>
                <w:lang w:val="en-US"/>
              </w:rPr>
              <w:t>X</w:t>
            </w:r>
            <w:r w:rsidRPr="00EB3DCB">
              <w:rPr>
                <w:color w:val="000000" w:themeColor="text1"/>
                <w:vertAlign w:val="subscript"/>
                <w:lang w:val="en-US"/>
              </w:rPr>
              <w:t>1</w:t>
            </w:r>
          </w:p>
        </w:tc>
        <w:tc>
          <w:tcPr>
            <w:tcW w:w="1331" w:type="dxa"/>
          </w:tcPr>
          <w:p w14:paraId="174F12CE" w14:textId="77777777" w:rsidR="00EB3DCB" w:rsidRPr="00EB3DCB" w:rsidRDefault="00EB3DCB" w:rsidP="00EB3DCB">
            <w:pPr>
              <w:spacing w:after="0" w:line="240" w:lineRule="auto"/>
              <w:ind w:right="116"/>
              <w:jc w:val="right"/>
              <w:rPr>
                <w:color w:val="000000" w:themeColor="text1"/>
                <w:lang w:val="en-US"/>
              </w:rPr>
            </w:pPr>
            <w:r w:rsidRPr="00EB3DCB">
              <w:rPr>
                <w:color w:val="000000" w:themeColor="text1"/>
                <w:lang w:val="en-US"/>
              </w:rPr>
              <w:t>.294</w:t>
            </w:r>
          </w:p>
        </w:tc>
        <w:tc>
          <w:tcPr>
            <w:tcW w:w="1573" w:type="dxa"/>
          </w:tcPr>
          <w:p w14:paraId="4F912A66" w14:textId="77777777" w:rsidR="00EB3DCB" w:rsidRPr="00EB3DCB" w:rsidRDefault="00EB3DCB" w:rsidP="00EB3DCB">
            <w:pPr>
              <w:spacing w:after="0" w:line="240" w:lineRule="auto"/>
              <w:ind w:right="187"/>
              <w:jc w:val="right"/>
              <w:rPr>
                <w:color w:val="000000" w:themeColor="text1"/>
                <w:lang w:val="en-US"/>
              </w:rPr>
            </w:pPr>
            <w:r w:rsidRPr="00EB3DCB">
              <w:rPr>
                <w:color w:val="000000" w:themeColor="text1"/>
                <w:lang w:val="en-US"/>
              </w:rPr>
              <w:t>.395</w:t>
            </w:r>
          </w:p>
        </w:tc>
        <w:tc>
          <w:tcPr>
            <w:tcW w:w="1701" w:type="dxa"/>
          </w:tcPr>
          <w:p w14:paraId="0F14626D" w14:textId="77777777" w:rsidR="00EB3DCB" w:rsidRPr="00EB3DCB" w:rsidRDefault="00EB3DCB" w:rsidP="00EB3DCB">
            <w:pPr>
              <w:spacing w:after="0" w:line="240" w:lineRule="auto"/>
              <w:ind w:left="96" w:right="229"/>
              <w:jc w:val="right"/>
              <w:rPr>
                <w:color w:val="000000" w:themeColor="text1"/>
                <w:lang w:val="en-US"/>
              </w:rPr>
            </w:pPr>
            <w:r w:rsidRPr="00EB3DCB">
              <w:rPr>
                <w:color w:val="000000" w:themeColor="text1"/>
                <w:lang w:val="en-US"/>
              </w:rPr>
              <w:t>.666</w:t>
            </w:r>
          </w:p>
        </w:tc>
        <w:tc>
          <w:tcPr>
            <w:tcW w:w="1134" w:type="dxa"/>
          </w:tcPr>
          <w:p w14:paraId="1C109B22" w14:textId="77777777" w:rsidR="00EB3DCB" w:rsidRPr="00EB3DCB" w:rsidRDefault="00EB3DCB" w:rsidP="00EB3DCB">
            <w:pPr>
              <w:spacing w:after="0" w:line="240" w:lineRule="auto"/>
              <w:ind w:left="96" w:right="229"/>
              <w:jc w:val="right"/>
              <w:rPr>
                <w:color w:val="000000" w:themeColor="text1"/>
                <w:lang w:val="en-US"/>
              </w:rPr>
            </w:pPr>
            <w:r w:rsidRPr="00EB3DCB">
              <w:rPr>
                <w:color w:val="000000" w:themeColor="text1"/>
                <w:lang w:val="en-US"/>
              </w:rPr>
              <w:t>.746</w:t>
            </w:r>
          </w:p>
        </w:tc>
        <w:tc>
          <w:tcPr>
            <w:tcW w:w="1417" w:type="dxa"/>
          </w:tcPr>
          <w:p w14:paraId="441C2F48" w14:textId="77777777" w:rsidR="00EB3DCB" w:rsidRPr="00EB3DCB" w:rsidRDefault="00EB3DCB" w:rsidP="00EB3DCB">
            <w:pPr>
              <w:spacing w:after="0" w:line="240" w:lineRule="auto"/>
              <w:ind w:right="187"/>
              <w:jc w:val="right"/>
              <w:rPr>
                <w:color w:val="000000" w:themeColor="text1"/>
                <w:lang w:val="en-US"/>
              </w:rPr>
            </w:pPr>
            <w:r w:rsidRPr="00EB3DCB">
              <w:rPr>
                <w:color w:val="000000" w:themeColor="text1"/>
                <w:lang w:val="en-US"/>
              </w:rPr>
              <w:t>.049</w:t>
            </w:r>
          </w:p>
        </w:tc>
      </w:tr>
      <w:tr w:rsidR="00EB3DCB" w:rsidRPr="00EB3DCB" w14:paraId="57465BFA" w14:textId="77777777" w:rsidTr="003318AA">
        <w:trPr>
          <w:cantSplit/>
        </w:trPr>
        <w:tc>
          <w:tcPr>
            <w:tcW w:w="733" w:type="dxa"/>
            <w:vMerge/>
          </w:tcPr>
          <w:p w14:paraId="50F70D7A" w14:textId="77777777" w:rsidR="00EB3DCB" w:rsidRPr="00EB3DCB" w:rsidRDefault="00EB3DCB" w:rsidP="00EB3DCB">
            <w:pPr>
              <w:spacing w:after="0" w:line="240" w:lineRule="auto"/>
              <w:jc w:val="both"/>
              <w:rPr>
                <w:color w:val="000000" w:themeColor="text1"/>
                <w:lang w:val="en-US"/>
              </w:rPr>
            </w:pPr>
          </w:p>
        </w:tc>
        <w:tc>
          <w:tcPr>
            <w:tcW w:w="1178" w:type="dxa"/>
          </w:tcPr>
          <w:p w14:paraId="30CCE919" w14:textId="77777777" w:rsidR="00EB3DCB" w:rsidRPr="00EB3DCB" w:rsidRDefault="00EB3DCB" w:rsidP="00EB3DCB">
            <w:pPr>
              <w:spacing w:after="0" w:line="240" w:lineRule="auto"/>
              <w:jc w:val="center"/>
              <w:rPr>
                <w:color w:val="000000" w:themeColor="text1"/>
                <w:vertAlign w:val="subscript"/>
                <w:lang w:val="en-US"/>
              </w:rPr>
            </w:pPr>
            <w:r w:rsidRPr="00EB3DCB">
              <w:rPr>
                <w:color w:val="000000" w:themeColor="text1"/>
                <w:lang w:val="en-US"/>
              </w:rPr>
              <w:t>X</w:t>
            </w:r>
            <w:r w:rsidRPr="00EB3DCB">
              <w:rPr>
                <w:color w:val="000000" w:themeColor="text1"/>
                <w:vertAlign w:val="subscript"/>
                <w:lang w:val="en-US"/>
              </w:rPr>
              <w:t>2</w:t>
            </w:r>
          </w:p>
        </w:tc>
        <w:tc>
          <w:tcPr>
            <w:tcW w:w="1331" w:type="dxa"/>
          </w:tcPr>
          <w:p w14:paraId="40172D83" w14:textId="77777777" w:rsidR="00EB3DCB" w:rsidRPr="00EB3DCB" w:rsidRDefault="00EB3DCB" w:rsidP="00EB3DCB">
            <w:pPr>
              <w:spacing w:after="0" w:line="240" w:lineRule="auto"/>
              <w:ind w:right="116"/>
              <w:jc w:val="right"/>
              <w:rPr>
                <w:color w:val="000000" w:themeColor="text1"/>
                <w:lang w:val="en-US"/>
              </w:rPr>
            </w:pPr>
            <w:r w:rsidRPr="00EB3DCB">
              <w:rPr>
                <w:color w:val="000000" w:themeColor="text1"/>
                <w:lang w:val="en-US"/>
              </w:rPr>
              <w:t>-1.612</w:t>
            </w:r>
          </w:p>
        </w:tc>
        <w:tc>
          <w:tcPr>
            <w:tcW w:w="1573" w:type="dxa"/>
          </w:tcPr>
          <w:p w14:paraId="5439D4BA" w14:textId="77777777" w:rsidR="00EB3DCB" w:rsidRPr="00EB3DCB" w:rsidRDefault="00EB3DCB" w:rsidP="00EB3DCB">
            <w:pPr>
              <w:spacing w:after="0" w:line="240" w:lineRule="auto"/>
              <w:ind w:right="187"/>
              <w:jc w:val="right"/>
              <w:rPr>
                <w:color w:val="000000" w:themeColor="text1"/>
                <w:lang w:val="en-US"/>
              </w:rPr>
            </w:pPr>
            <w:r w:rsidRPr="00EB3DCB">
              <w:rPr>
                <w:color w:val="000000" w:themeColor="text1"/>
                <w:lang w:val="en-US"/>
              </w:rPr>
              <w:t>1.562</w:t>
            </w:r>
          </w:p>
        </w:tc>
        <w:tc>
          <w:tcPr>
            <w:tcW w:w="1701" w:type="dxa"/>
          </w:tcPr>
          <w:p w14:paraId="49A2D11D" w14:textId="77777777" w:rsidR="00EB3DCB" w:rsidRPr="00EB3DCB" w:rsidRDefault="00EB3DCB" w:rsidP="00EB3DCB">
            <w:pPr>
              <w:spacing w:after="0" w:line="240" w:lineRule="auto"/>
              <w:ind w:left="96" w:right="229"/>
              <w:jc w:val="right"/>
              <w:rPr>
                <w:color w:val="000000" w:themeColor="text1"/>
                <w:lang w:val="en-US"/>
              </w:rPr>
            </w:pPr>
            <w:r w:rsidRPr="00EB3DCB">
              <w:rPr>
                <w:color w:val="000000" w:themeColor="text1"/>
                <w:lang w:val="en-US"/>
              </w:rPr>
              <w:t>-1.346</w:t>
            </w:r>
          </w:p>
        </w:tc>
        <w:tc>
          <w:tcPr>
            <w:tcW w:w="1134" w:type="dxa"/>
          </w:tcPr>
          <w:p w14:paraId="063D34CF" w14:textId="77777777" w:rsidR="00EB3DCB" w:rsidRPr="00EB3DCB" w:rsidRDefault="00EB3DCB" w:rsidP="00EB3DCB">
            <w:pPr>
              <w:spacing w:after="0" w:line="240" w:lineRule="auto"/>
              <w:ind w:left="96" w:right="229"/>
              <w:jc w:val="right"/>
              <w:rPr>
                <w:color w:val="000000" w:themeColor="text1"/>
                <w:lang w:val="en-US"/>
              </w:rPr>
            </w:pPr>
            <w:r w:rsidRPr="00EB3DCB">
              <w:rPr>
                <w:color w:val="000000" w:themeColor="text1"/>
                <w:lang w:val="en-US"/>
              </w:rPr>
              <w:t>-1.032</w:t>
            </w:r>
          </w:p>
        </w:tc>
        <w:tc>
          <w:tcPr>
            <w:tcW w:w="1417" w:type="dxa"/>
          </w:tcPr>
          <w:p w14:paraId="751F928F" w14:textId="77777777" w:rsidR="00EB3DCB" w:rsidRPr="00EB3DCB" w:rsidRDefault="00EB3DCB" w:rsidP="00EB3DCB">
            <w:pPr>
              <w:spacing w:after="0" w:line="240" w:lineRule="auto"/>
              <w:ind w:right="187"/>
              <w:jc w:val="right"/>
              <w:rPr>
                <w:color w:val="000000" w:themeColor="text1"/>
                <w:lang w:val="en-US"/>
              </w:rPr>
            </w:pPr>
            <w:r w:rsidRPr="00EB3DCB">
              <w:rPr>
                <w:color w:val="000000" w:themeColor="text1"/>
                <w:lang w:val="en-US"/>
              </w:rPr>
              <w:t>.036</w:t>
            </w:r>
          </w:p>
        </w:tc>
      </w:tr>
      <w:tr w:rsidR="00EB3DCB" w:rsidRPr="00EB3DCB" w14:paraId="47EA65F7" w14:textId="77777777" w:rsidTr="003318AA">
        <w:trPr>
          <w:cantSplit/>
        </w:trPr>
        <w:tc>
          <w:tcPr>
            <w:tcW w:w="733" w:type="dxa"/>
            <w:vMerge/>
          </w:tcPr>
          <w:p w14:paraId="4143728B" w14:textId="77777777" w:rsidR="00EB3DCB" w:rsidRPr="00EB3DCB" w:rsidRDefault="00EB3DCB" w:rsidP="00EB3DCB">
            <w:pPr>
              <w:spacing w:after="0" w:line="240" w:lineRule="auto"/>
              <w:jc w:val="both"/>
              <w:rPr>
                <w:color w:val="000000" w:themeColor="text1"/>
                <w:lang w:val="en-US"/>
              </w:rPr>
            </w:pPr>
          </w:p>
        </w:tc>
        <w:tc>
          <w:tcPr>
            <w:tcW w:w="1178" w:type="dxa"/>
          </w:tcPr>
          <w:p w14:paraId="538E077A" w14:textId="77777777" w:rsidR="00EB3DCB" w:rsidRPr="00EB3DCB" w:rsidRDefault="00EB3DCB" w:rsidP="00EB3DCB">
            <w:pPr>
              <w:spacing w:after="0" w:line="240" w:lineRule="auto"/>
              <w:jc w:val="center"/>
              <w:rPr>
                <w:color w:val="000000" w:themeColor="text1"/>
                <w:vertAlign w:val="subscript"/>
                <w:lang w:val="en-US"/>
              </w:rPr>
            </w:pPr>
            <w:r w:rsidRPr="00EB3DCB">
              <w:rPr>
                <w:color w:val="000000" w:themeColor="text1"/>
                <w:lang w:val="en-US"/>
              </w:rPr>
              <w:t>X</w:t>
            </w:r>
            <w:r w:rsidRPr="00EB3DCB">
              <w:rPr>
                <w:color w:val="000000" w:themeColor="text1"/>
                <w:vertAlign w:val="subscript"/>
                <w:lang w:val="en-US"/>
              </w:rPr>
              <w:t>3</w:t>
            </w:r>
          </w:p>
        </w:tc>
        <w:tc>
          <w:tcPr>
            <w:tcW w:w="1331" w:type="dxa"/>
          </w:tcPr>
          <w:p w14:paraId="0AC1AA04" w14:textId="77777777" w:rsidR="00EB3DCB" w:rsidRPr="00EB3DCB" w:rsidRDefault="00EB3DCB" w:rsidP="00EB3DCB">
            <w:pPr>
              <w:spacing w:after="0" w:line="240" w:lineRule="auto"/>
              <w:ind w:right="116"/>
              <w:jc w:val="right"/>
              <w:rPr>
                <w:color w:val="000000" w:themeColor="text1"/>
                <w:lang w:val="en-US"/>
              </w:rPr>
            </w:pPr>
            <w:r w:rsidRPr="00EB3DCB">
              <w:rPr>
                <w:color w:val="000000" w:themeColor="text1"/>
                <w:lang w:val="en-US"/>
              </w:rPr>
              <w:t>1.491</w:t>
            </w:r>
          </w:p>
        </w:tc>
        <w:tc>
          <w:tcPr>
            <w:tcW w:w="1573" w:type="dxa"/>
          </w:tcPr>
          <w:p w14:paraId="42A41500" w14:textId="77777777" w:rsidR="00EB3DCB" w:rsidRPr="00EB3DCB" w:rsidRDefault="00EB3DCB" w:rsidP="00EB3DCB">
            <w:pPr>
              <w:spacing w:after="0" w:line="240" w:lineRule="auto"/>
              <w:ind w:right="187"/>
              <w:jc w:val="right"/>
              <w:rPr>
                <w:color w:val="000000" w:themeColor="text1"/>
                <w:lang w:val="en-US"/>
              </w:rPr>
            </w:pPr>
            <w:r w:rsidRPr="00EB3DCB">
              <w:rPr>
                <w:color w:val="000000" w:themeColor="text1"/>
                <w:lang w:val="en-US"/>
              </w:rPr>
              <w:t>.566</w:t>
            </w:r>
          </w:p>
        </w:tc>
        <w:tc>
          <w:tcPr>
            <w:tcW w:w="1701" w:type="dxa"/>
          </w:tcPr>
          <w:p w14:paraId="2BC667A9" w14:textId="77777777" w:rsidR="00EB3DCB" w:rsidRPr="00EB3DCB" w:rsidRDefault="00EB3DCB" w:rsidP="00EB3DCB">
            <w:pPr>
              <w:spacing w:after="0" w:line="240" w:lineRule="auto"/>
              <w:ind w:left="96" w:right="229"/>
              <w:jc w:val="right"/>
              <w:rPr>
                <w:color w:val="000000" w:themeColor="text1"/>
                <w:lang w:val="en-US"/>
              </w:rPr>
            </w:pPr>
            <w:r w:rsidRPr="00EB3DCB">
              <w:rPr>
                <w:color w:val="000000" w:themeColor="text1"/>
                <w:lang w:val="en-US"/>
              </w:rPr>
              <w:t>.956</w:t>
            </w:r>
          </w:p>
        </w:tc>
        <w:tc>
          <w:tcPr>
            <w:tcW w:w="1134" w:type="dxa"/>
          </w:tcPr>
          <w:p w14:paraId="75837CE2" w14:textId="77777777" w:rsidR="00EB3DCB" w:rsidRPr="00EB3DCB" w:rsidRDefault="00EB3DCB" w:rsidP="00EB3DCB">
            <w:pPr>
              <w:spacing w:after="0" w:line="240" w:lineRule="auto"/>
              <w:ind w:left="96" w:right="229"/>
              <w:jc w:val="right"/>
              <w:rPr>
                <w:color w:val="000000" w:themeColor="text1"/>
                <w:lang w:val="en-US"/>
              </w:rPr>
            </w:pPr>
            <w:r w:rsidRPr="00EB3DCB">
              <w:rPr>
                <w:color w:val="000000" w:themeColor="text1"/>
                <w:lang w:val="en-US"/>
              </w:rPr>
              <w:t>2.636</w:t>
            </w:r>
          </w:p>
        </w:tc>
        <w:tc>
          <w:tcPr>
            <w:tcW w:w="1417" w:type="dxa"/>
          </w:tcPr>
          <w:p w14:paraId="505AD6AC" w14:textId="77777777" w:rsidR="00EB3DCB" w:rsidRPr="00EB3DCB" w:rsidRDefault="00EB3DCB" w:rsidP="00EB3DCB">
            <w:pPr>
              <w:spacing w:after="0" w:line="240" w:lineRule="auto"/>
              <w:ind w:right="187"/>
              <w:jc w:val="right"/>
              <w:rPr>
                <w:color w:val="000000" w:themeColor="text1"/>
                <w:lang w:val="en-US"/>
              </w:rPr>
            </w:pPr>
            <w:r w:rsidRPr="00EB3DCB">
              <w:rPr>
                <w:color w:val="000000" w:themeColor="text1"/>
                <w:lang w:val="en-US"/>
              </w:rPr>
              <w:t>.050</w:t>
            </w:r>
          </w:p>
        </w:tc>
      </w:tr>
      <w:tr w:rsidR="00EB3DCB" w:rsidRPr="00EB3DCB" w14:paraId="7857264C" w14:textId="77777777" w:rsidTr="003318AA">
        <w:trPr>
          <w:cantSplit/>
        </w:trPr>
        <w:tc>
          <w:tcPr>
            <w:tcW w:w="733" w:type="dxa"/>
            <w:vMerge/>
          </w:tcPr>
          <w:p w14:paraId="06569AA3" w14:textId="77777777" w:rsidR="00EB3DCB" w:rsidRPr="00EB3DCB" w:rsidRDefault="00EB3DCB" w:rsidP="00EB3DCB">
            <w:pPr>
              <w:spacing w:after="0" w:line="240" w:lineRule="auto"/>
              <w:jc w:val="both"/>
              <w:rPr>
                <w:color w:val="000000" w:themeColor="text1"/>
                <w:lang w:val="en-US"/>
              </w:rPr>
            </w:pPr>
          </w:p>
        </w:tc>
        <w:tc>
          <w:tcPr>
            <w:tcW w:w="1178" w:type="dxa"/>
          </w:tcPr>
          <w:p w14:paraId="437713E4" w14:textId="77777777" w:rsidR="00EB3DCB" w:rsidRPr="00EB3DCB" w:rsidRDefault="00EB3DCB" w:rsidP="00EB3DCB">
            <w:pPr>
              <w:spacing w:after="0" w:line="240" w:lineRule="auto"/>
              <w:jc w:val="center"/>
              <w:rPr>
                <w:color w:val="000000" w:themeColor="text1"/>
                <w:vertAlign w:val="subscript"/>
                <w:lang w:val="en-US"/>
              </w:rPr>
            </w:pPr>
            <w:r w:rsidRPr="00EB3DCB">
              <w:rPr>
                <w:color w:val="000000" w:themeColor="text1"/>
                <w:lang w:val="en-US"/>
              </w:rPr>
              <w:t>X</w:t>
            </w:r>
            <w:r w:rsidRPr="00EB3DCB">
              <w:rPr>
                <w:color w:val="000000" w:themeColor="text1"/>
                <w:vertAlign w:val="subscript"/>
                <w:lang w:val="en-US"/>
              </w:rPr>
              <w:t>4</w:t>
            </w:r>
          </w:p>
        </w:tc>
        <w:tc>
          <w:tcPr>
            <w:tcW w:w="1331" w:type="dxa"/>
          </w:tcPr>
          <w:p w14:paraId="4A42DFE7" w14:textId="77777777" w:rsidR="00EB3DCB" w:rsidRPr="00EB3DCB" w:rsidRDefault="00EB3DCB" w:rsidP="00EB3DCB">
            <w:pPr>
              <w:spacing w:after="0" w:line="240" w:lineRule="auto"/>
              <w:ind w:right="116"/>
              <w:jc w:val="right"/>
              <w:rPr>
                <w:color w:val="000000" w:themeColor="text1"/>
                <w:lang w:val="en-US"/>
              </w:rPr>
            </w:pPr>
            <w:r w:rsidRPr="00EB3DCB">
              <w:rPr>
                <w:color w:val="000000" w:themeColor="text1"/>
                <w:lang w:val="en-US"/>
              </w:rPr>
              <w:t>.091</w:t>
            </w:r>
          </w:p>
        </w:tc>
        <w:tc>
          <w:tcPr>
            <w:tcW w:w="1573" w:type="dxa"/>
          </w:tcPr>
          <w:p w14:paraId="0294851A" w14:textId="77777777" w:rsidR="00EB3DCB" w:rsidRPr="00EB3DCB" w:rsidRDefault="00EB3DCB" w:rsidP="00EB3DCB">
            <w:pPr>
              <w:spacing w:after="0" w:line="240" w:lineRule="auto"/>
              <w:ind w:right="187"/>
              <w:jc w:val="right"/>
              <w:rPr>
                <w:color w:val="000000" w:themeColor="text1"/>
                <w:lang w:val="en-US"/>
              </w:rPr>
            </w:pPr>
            <w:r w:rsidRPr="00EB3DCB">
              <w:rPr>
                <w:color w:val="000000" w:themeColor="text1"/>
                <w:lang w:val="en-US"/>
              </w:rPr>
              <w:t>.116</w:t>
            </w:r>
          </w:p>
        </w:tc>
        <w:tc>
          <w:tcPr>
            <w:tcW w:w="1701" w:type="dxa"/>
          </w:tcPr>
          <w:p w14:paraId="16C2E44E" w14:textId="77777777" w:rsidR="00EB3DCB" w:rsidRPr="00EB3DCB" w:rsidRDefault="00EB3DCB" w:rsidP="00EB3DCB">
            <w:pPr>
              <w:spacing w:after="0" w:line="240" w:lineRule="auto"/>
              <w:ind w:left="96" w:right="229"/>
              <w:jc w:val="right"/>
              <w:rPr>
                <w:color w:val="000000" w:themeColor="text1"/>
                <w:lang w:val="en-US"/>
              </w:rPr>
            </w:pPr>
            <w:r w:rsidRPr="00EB3DCB">
              <w:rPr>
                <w:color w:val="000000" w:themeColor="text1"/>
                <w:lang w:val="en-US"/>
              </w:rPr>
              <w:t>1.070</w:t>
            </w:r>
          </w:p>
        </w:tc>
        <w:tc>
          <w:tcPr>
            <w:tcW w:w="1134" w:type="dxa"/>
          </w:tcPr>
          <w:p w14:paraId="4DBD3E1C" w14:textId="77777777" w:rsidR="00EB3DCB" w:rsidRPr="00EB3DCB" w:rsidRDefault="00EB3DCB" w:rsidP="00EB3DCB">
            <w:pPr>
              <w:spacing w:after="0" w:line="240" w:lineRule="auto"/>
              <w:ind w:left="96" w:right="229"/>
              <w:jc w:val="right"/>
              <w:rPr>
                <w:color w:val="000000" w:themeColor="text1"/>
                <w:lang w:val="en-US"/>
              </w:rPr>
            </w:pPr>
            <w:r w:rsidRPr="00EB3DCB">
              <w:rPr>
                <w:color w:val="000000" w:themeColor="text1"/>
                <w:lang w:val="en-US"/>
              </w:rPr>
              <w:t>.790</w:t>
            </w:r>
          </w:p>
        </w:tc>
        <w:tc>
          <w:tcPr>
            <w:tcW w:w="1417" w:type="dxa"/>
          </w:tcPr>
          <w:p w14:paraId="7004845F" w14:textId="77777777" w:rsidR="00EB3DCB" w:rsidRPr="00EB3DCB" w:rsidRDefault="00EB3DCB" w:rsidP="00EB3DCB">
            <w:pPr>
              <w:spacing w:after="0" w:line="240" w:lineRule="auto"/>
              <w:ind w:right="187"/>
              <w:jc w:val="right"/>
              <w:rPr>
                <w:color w:val="000000" w:themeColor="text1"/>
                <w:lang w:val="en-US"/>
              </w:rPr>
            </w:pPr>
            <w:r w:rsidRPr="00EB3DCB">
              <w:rPr>
                <w:color w:val="000000" w:themeColor="text1"/>
                <w:lang w:val="en-US"/>
              </w:rPr>
              <w:t>.474</w:t>
            </w:r>
          </w:p>
        </w:tc>
      </w:tr>
      <w:tr w:rsidR="00EB3DCB" w:rsidRPr="00EB3DCB" w14:paraId="073DC9C6" w14:textId="77777777" w:rsidTr="003318AA">
        <w:trPr>
          <w:cantSplit/>
        </w:trPr>
        <w:tc>
          <w:tcPr>
            <w:tcW w:w="733" w:type="dxa"/>
            <w:vMerge/>
          </w:tcPr>
          <w:p w14:paraId="42652021" w14:textId="77777777" w:rsidR="00EB3DCB" w:rsidRPr="00EB3DCB" w:rsidRDefault="00EB3DCB" w:rsidP="00EB3DCB">
            <w:pPr>
              <w:spacing w:after="0" w:line="240" w:lineRule="auto"/>
              <w:jc w:val="both"/>
              <w:rPr>
                <w:color w:val="000000" w:themeColor="text1"/>
                <w:lang w:val="en-US"/>
              </w:rPr>
            </w:pPr>
          </w:p>
        </w:tc>
        <w:tc>
          <w:tcPr>
            <w:tcW w:w="1178" w:type="dxa"/>
          </w:tcPr>
          <w:p w14:paraId="3C8E68D5" w14:textId="77777777" w:rsidR="00EB3DCB" w:rsidRPr="00EB3DCB" w:rsidRDefault="00EB3DCB" w:rsidP="00EB3DCB">
            <w:pPr>
              <w:spacing w:after="0" w:line="240" w:lineRule="auto"/>
              <w:jc w:val="center"/>
              <w:rPr>
                <w:color w:val="000000" w:themeColor="text1"/>
                <w:vertAlign w:val="subscript"/>
                <w:lang w:val="en-US"/>
              </w:rPr>
            </w:pPr>
            <w:r w:rsidRPr="00EB3DCB">
              <w:rPr>
                <w:color w:val="000000" w:themeColor="text1"/>
                <w:lang w:val="en-US"/>
              </w:rPr>
              <w:t>X</w:t>
            </w:r>
            <w:r w:rsidRPr="00EB3DCB">
              <w:rPr>
                <w:color w:val="000000" w:themeColor="text1"/>
                <w:vertAlign w:val="subscript"/>
                <w:lang w:val="en-US"/>
              </w:rPr>
              <w:t>5</w:t>
            </w:r>
          </w:p>
        </w:tc>
        <w:tc>
          <w:tcPr>
            <w:tcW w:w="1331" w:type="dxa"/>
          </w:tcPr>
          <w:p w14:paraId="3E587ADC" w14:textId="77777777" w:rsidR="00EB3DCB" w:rsidRPr="00EB3DCB" w:rsidRDefault="00EB3DCB" w:rsidP="00EB3DCB">
            <w:pPr>
              <w:spacing w:after="0" w:line="240" w:lineRule="auto"/>
              <w:ind w:right="116"/>
              <w:jc w:val="right"/>
              <w:rPr>
                <w:color w:val="000000" w:themeColor="text1"/>
                <w:lang w:val="en-US"/>
              </w:rPr>
            </w:pPr>
            <w:r w:rsidRPr="00EB3DCB">
              <w:rPr>
                <w:color w:val="000000" w:themeColor="text1"/>
                <w:lang w:val="en-US"/>
              </w:rPr>
              <w:t>-.242</w:t>
            </w:r>
          </w:p>
        </w:tc>
        <w:tc>
          <w:tcPr>
            <w:tcW w:w="1573" w:type="dxa"/>
          </w:tcPr>
          <w:p w14:paraId="636E2EB3" w14:textId="77777777" w:rsidR="00EB3DCB" w:rsidRPr="00EB3DCB" w:rsidRDefault="00EB3DCB" w:rsidP="00EB3DCB">
            <w:pPr>
              <w:spacing w:after="0" w:line="240" w:lineRule="auto"/>
              <w:ind w:right="187"/>
              <w:jc w:val="right"/>
              <w:rPr>
                <w:color w:val="000000" w:themeColor="text1"/>
                <w:lang w:val="en-US"/>
              </w:rPr>
            </w:pPr>
            <w:r w:rsidRPr="00EB3DCB">
              <w:rPr>
                <w:color w:val="000000" w:themeColor="text1"/>
                <w:lang w:val="en-US"/>
              </w:rPr>
              <w:t>.129</w:t>
            </w:r>
          </w:p>
        </w:tc>
        <w:tc>
          <w:tcPr>
            <w:tcW w:w="1701" w:type="dxa"/>
          </w:tcPr>
          <w:p w14:paraId="15026EA2" w14:textId="77777777" w:rsidR="00EB3DCB" w:rsidRPr="00EB3DCB" w:rsidRDefault="00EB3DCB" w:rsidP="00EB3DCB">
            <w:pPr>
              <w:spacing w:after="0" w:line="240" w:lineRule="auto"/>
              <w:ind w:left="96" w:right="229"/>
              <w:jc w:val="right"/>
              <w:rPr>
                <w:color w:val="000000" w:themeColor="text1"/>
                <w:lang w:val="en-US"/>
              </w:rPr>
            </w:pPr>
            <w:r w:rsidRPr="00EB3DCB">
              <w:rPr>
                <w:color w:val="000000" w:themeColor="text1"/>
                <w:lang w:val="en-US"/>
              </w:rPr>
              <w:t>-.770</w:t>
            </w:r>
          </w:p>
        </w:tc>
        <w:tc>
          <w:tcPr>
            <w:tcW w:w="1134" w:type="dxa"/>
          </w:tcPr>
          <w:p w14:paraId="195AFC05" w14:textId="77777777" w:rsidR="00EB3DCB" w:rsidRPr="00EB3DCB" w:rsidRDefault="00EB3DCB" w:rsidP="00EB3DCB">
            <w:pPr>
              <w:spacing w:after="0" w:line="240" w:lineRule="auto"/>
              <w:ind w:left="96" w:right="229"/>
              <w:jc w:val="right"/>
              <w:rPr>
                <w:color w:val="000000" w:themeColor="text1"/>
                <w:lang w:val="en-US"/>
              </w:rPr>
            </w:pPr>
            <w:r w:rsidRPr="00EB3DCB">
              <w:rPr>
                <w:color w:val="000000" w:themeColor="text1"/>
                <w:lang w:val="en-US"/>
              </w:rPr>
              <w:t>-1.870</w:t>
            </w:r>
          </w:p>
        </w:tc>
        <w:tc>
          <w:tcPr>
            <w:tcW w:w="1417" w:type="dxa"/>
          </w:tcPr>
          <w:p w14:paraId="52830403" w14:textId="77777777" w:rsidR="00EB3DCB" w:rsidRPr="00EB3DCB" w:rsidRDefault="00EB3DCB" w:rsidP="00EB3DCB">
            <w:pPr>
              <w:spacing w:after="0" w:line="240" w:lineRule="auto"/>
              <w:ind w:right="187"/>
              <w:jc w:val="right"/>
              <w:rPr>
                <w:color w:val="000000" w:themeColor="text1"/>
                <w:lang w:val="en-US"/>
              </w:rPr>
            </w:pPr>
            <w:r w:rsidRPr="00EB3DCB">
              <w:rPr>
                <w:color w:val="000000" w:themeColor="text1"/>
                <w:lang w:val="en-US"/>
              </w:rPr>
              <w:t>.135</w:t>
            </w:r>
          </w:p>
        </w:tc>
      </w:tr>
      <w:tr w:rsidR="00EB3DCB" w:rsidRPr="00EB3DCB" w14:paraId="08C78CD8" w14:textId="77777777" w:rsidTr="003318AA">
        <w:trPr>
          <w:cantSplit/>
        </w:trPr>
        <w:tc>
          <w:tcPr>
            <w:tcW w:w="9067" w:type="dxa"/>
            <w:gridSpan w:val="7"/>
          </w:tcPr>
          <w:p w14:paraId="68726CDF" w14:textId="77777777" w:rsidR="00EB3DCB" w:rsidRPr="00EB3DCB" w:rsidRDefault="00EB3DCB" w:rsidP="00EB3DCB">
            <w:pPr>
              <w:spacing w:after="0" w:line="240" w:lineRule="auto"/>
              <w:jc w:val="both"/>
              <w:rPr>
                <w:color w:val="000000" w:themeColor="text1"/>
                <w:lang w:val="en-US"/>
              </w:rPr>
            </w:pPr>
            <w:r w:rsidRPr="00EB3DCB">
              <w:rPr>
                <w:color w:val="000000" w:themeColor="text1"/>
                <w:lang w:val="en-US"/>
              </w:rPr>
              <w:t>a. Dependent Variable: Y</w:t>
            </w:r>
          </w:p>
        </w:tc>
      </w:tr>
    </w:tbl>
    <w:p w14:paraId="6A72E82C" w14:textId="77777777" w:rsidR="00EB3DCB" w:rsidRPr="00EB3DCB" w:rsidRDefault="00EB3DCB" w:rsidP="00EB3DCB">
      <w:pPr>
        <w:spacing w:after="0" w:line="240" w:lineRule="auto"/>
        <w:jc w:val="both"/>
        <w:rPr>
          <w:color w:val="000000" w:themeColor="text1"/>
          <w:lang w:val="id-ID"/>
        </w:rPr>
      </w:pPr>
    </w:p>
    <w:p w14:paraId="5541D88B" w14:textId="77777777" w:rsidR="00EB3DCB" w:rsidRPr="00EB3DCB" w:rsidRDefault="00EB3DCB" w:rsidP="00C6661A">
      <w:pPr>
        <w:spacing w:after="0" w:line="240" w:lineRule="auto"/>
        <w:jc w:val="both"/>
        <w:rPr>
          <w:color w:val="000000" w:themeColor="text1"/>
          <w:lang w:val="id-ID"/>
        </w:rPr>
      </w:pPr>
      <w:r w:rsidRPr="00EB3DCB">
        <w:rPr>
          <w:color w:val="000000" w:themeColor="text1"/>
          <w:lang w:val="id-ID"/>
        </w:rPr>
        <w:t>Hasil uji t menunjukkan bahwa dari lima variabel independen yang digunakan, hanya X</w:t>
      </w:r>
      <w:r w:rsidRPr="00EB3DCB">
        <w:rPr>
          <w:color w:val="000000" w:themeColor="text1"/>
          <w:vertAlign w:val="subscript"/>
          <w:lang w:val="id-ID"/>
        </w:rPr>
        <w:t>1</w:t>
      </w:r>
      <w:r w:rsidRPr="00EB3DCB">
        <w:rPr>
          <w:color w:val="000000" w:themeColor="text1"/>
          <w:lang w:val="id-ID"/>
        </w:rPr>
        <w:t>, X</w:t>
      </w:r>
      <w:r w:rsidRPr="00EB3DCB">
        <w:rPr>
          <w:color w:val="000000" w:themeColor="text1"/>
          <w:vertAlign w:val="subscript"/>
          <w:lang w:val="id-ID"/>
        </w:rPr>
        <w:t>2</w:t>
      </w:r>
      <w:r w:rsidRPr="00EB3DCB">
        <w:rPr>
          <w:color w:val="000000" w:themeColor="text1"/>
          <w:lang w:val="id-ID"/>
        </w:rPr>
        <w:t>, dan X</w:t>
      </w:r>
      <w:r w:rsidRPr="00EB3DCB">
        <w:rPr>
          <w:color w:val="000000" w:themeColor="text1"/>
          <w:vertAlign w:val="subscript"/>
          <w:lang w:val="id-ID"/>
        </w:rPr>
        <w:t>3</w:t>
      </w:r>
      <w:r w:rsidRPr="00EB3DCB">
        <w:rPr>
          <w:color w:val="000000" w:themeColor="text1"/>
          <w:lang w:val="id-ID"/>
        </w:rPr>
        <w:t xml:space="preserve"> yang terbukti memiliki pengaruh signifikan terhadap variabel Y, sementara X4 dan X</w:t>
      </w:r>
      <w:r w:rsidRPr="00EB3DCB">
        <w:rPr>
          <w:color w:val="000000" w:themeColor="text1"/>
          <w:vertAlign w:val="subscript"/>
          <w:lang w:val="id-ID"/>
        </w:rPr>
        <w:t>5</w:t>
      </w:r>
      <w:r w:rsidRPr="00EB3DCB">
        <w:rPr>
          <w:color w:val="000000" w:themeColor="text1"/>
          <w:lang w:val="id-ID"/>
        </w:rPr>
        <w:t xml:space="preserve"> tidak menunjukkan pengaruh yang berarti. Variabel X</w:t>
      </w:r>
      <w:r w:rsidRPr="00EB3DCB">
        <w:rPr>
          <w:color w:val="000000" w:themeColor="text1"/>
          <w:vertAlign w:val="subscript"/>
          <w:lang w:val="id-ID"/>
        </w:rPr>
        <w:t>1</w:t>
      </w:r>
      <w:r w:rsidRPr="00EB3DCB">
        <w:rPr>
          <w:color w:val="000000" w:themeColor="text1"/>
          <w:lang w:val="id-ID"/>
        </w:rPr>
        <w:t xml:space="preserve"> memiliki nilai signifikansi 0,049 sehingga secara statistik berpengaruh positif dan signifikan, yang berarti peningkatan X</w:t>
      </w:r>
      <w:r w:rsidRPr="00EB3DCB">
        <w:rPr>
          <w:color w:val="000000" w:themeColor="text1"/>
          <w:vertAlign w:val="subscript"/>
          <w:lang w:val="id-ID"/>
        </w:rPr>
        <w:t>1</w:t>
      </w:r>
      <w:r w:rsidRPr="00EB3DCB">
        <w:rPr>
          <w:color w:val="000000" w:themeColor="text1"/>
          <w:lang w:val="id-ID"/>
        </w:rPr>
        <w:t xml:space="preserve"> akan meningkatkan Y. Variabel X</w:t>
      </w:r>
      <w:r w:rsidRPr="00EB3DCB">
        <w:rPr>
          <w:color w:val="000000" w:themeColor="text1"/>
          <w:vertAlign w:val="subscript"/>
          <w:lang w:val="id-ID"/>
        </w:rPr>
        <w:t xml:space="preserve">2 </w:t>
      </w:r>
      <w:r w:rsidRPr="00EB3DCB">
        <w:rPr>
          <w:color w:val="000000" w:themeColor="text1"/>
          <w:lang w:val="id-ID"/>
        </w:rPr>
        <w:t>memiliki nilai signifikansi 0,036 dan koefisien negatif, menunjukkan bahwa X</w:t>
      </w:r>
      <w:r w:rsidRPr="00EB3DCB">
        <w:rPr>
          <w:color w:val="000000" w:themeColor="text1"/>
          <w:vertAlign w:val="subscript"/>
          <w:lang w:val="id-ID"/>
        </w:rPr>
        <w:t>2</w:t>
      </w:r>
      <w:r w:rsidRPr="00EB3DCB">
        <w:rPr>
          <w:color w:val="000000" w:themeColor="text1"/>
          <w:lang w:val="id-ID"/>
        </w:rPr>
        <w:t xml:space="preserve"> berpengaruh signifikan namun dalam arah yang berlawanan, sehingga peningkatan X</w:t>
      </w:r>
      <w:r w:rsidRPr="00EB3DCB">
        <w:rPr>
          <w:color w:val="000000" w:themeColor="text1"/>
          <w:vertAlign w:val="subscript"/>
          <w:lang w:val="id-ID"/>
        </w:rPr>
        <w:t>2</w:t>
      </w:r>
      <w:r w:rsidRPr="00EB3DCB">
        <w:rPr>
          <w:color w:val="000000" w:themeColor="text1"/>
          <w:lang w:val="id-ID"/>
        </w:rPr>
        <w:t xml:space="preserve"> justru menurunkan Y. Variabel X</w:t>
      </w:r>
      <w:r w:rsidRPr="00EB3DCB">
        <w:rPr>
          <w:color w:val="000000" w:themeColor="text1"/>
          <w:vertAlign w:val="subscript"/>
          <w:lang w:val="id-ID"/>
        </w:rPr>
        <w:t>3</w:t>
      </w:r>
      <w:r w:rsidRPr="00EB3DCB">
        <w:rPr>
          <w:color w:val="000000" w:themeColor="text1"/>
          <w:lang w:val="id-ID"/>
        </w:rPr>
        <w:t xml:space="preserve"> dengan nilai signifikansi 0,050 berada tepat pada batas signifikansi dan dapat dikatakan berpengaruh positif secara marginal terhadap Y. Sebaliknya, variabel X</w:t>
      </w:r>
      <w:r w:rsidRPr="00EB3DCB">
        <w:rPr>
          <w:color w:val="000000" w:themeColor="text1"/>
          <w:vertAlign w:val="subscript"/>
          <w:lang w:val="id-ID"/>
        </w:rPr>
        <w:t xml:space="preserve">4 </w:t>
      </w:r>
      <w:r w:rsidRPr="00EB3DCB">
        <w:rPr>
          <w:color w:val="000000" w:themeColor="text1"/>
          <w:lang w:val="id-ID"/>
        </w:rPr>
        <w:t>(Sig. 0,474) dan X</w:t>
      </w:r>
      <w:r w:rsidRPr="00EB3DCB">
        <w:rPr>
          <w:color w:val="000000" w:themeColor="text1"/>
          <w:vertAlign w:val="subscript"/>
          <w:lang w:val="id-ID"/>
        </w:rPr>
        <w:t>5</w:t>
      </w:r>
      <w:r w:rsidRPr="00EB3DCB">
        <w:rPr>
          <w:color w:val="000000" w:themeColor="text1"/>
          <w:lang w:val="id-ID"/>
        </w:rPr>
        <w:t xml:space="preserve"> (Sig. 0,135) tidak signifikan, sehingga perubahan pada kedua variabel ini tidak memberikan dampak yang nyata terhadap Y dalam model regresi yang diestimasi.</w:t>
      </w:r>
    </w:p>
    <w:p w14:paraId="01C62A05" w14:textId="77777777" w:rsidR="00C6661A" w:rsidRDefault="00C6661A" w:rsidP="00C6661A">
      <w:pPr>
        <w:spacing w:after="0" w:line="240" w:lineRule="auto"/>
        <w:jc w:val="both"/>
        <w:rPr>
          <w:color w:val="000000" w:themeColor="text1"/>
          <w:lang w:val="en-US"/>
        </w:rPr>
      </w:pPr>
    </w:p>
    <w:p w14:paraId="19AAB0AF" w14:textId="308BBA30" w:rsidR="00C6661A" w:rsidRPr="00C6661A" w:rsidRDefault="00C6661A" w:rsidP="00C6661A">
      <w:pPr>
        <w:spacing w:after="0" w:line="240" w:lineRule="auto"/>
        <w:jc w:val="both"/>
        <w:rPr>
          <w:b/>
          <w:color w:val="000000" w:themeColor="text1"/>
          <w:lang w:val="en-US"/>
        </w:rPr>
      </w:pPr>
      <w:r w:rsidRPr="00C6661A">
        <w:rPr>
          <w:b/>
          <w:color w:val="000000" w:themeColor="text1"/>
          <w:lang w:val="en-US"/>
        </w:rPr>
        <w:lastRenderedPageBreak/>
        <w:t>Uji Koefisien Determinasi (R</w:t>
      </w:r>
      <w:r w:rsidRPr="00C6661A">
        <w:rPr>
          <w:b/>
          <w:color w:val="000000" w:themeColor="text1"/>
          <w:vertAlign w:val="superscript"/>
          <w:lang w:val="en-US"/>
        </w:rPr>
        <w:t>2</w:t>
      </w:r>
      <w:r w:rsidRPr="00C6661A">
        <w:rPr>
          <w:b/>
          <w:color w:val="000000" w:themeColor="text1"/>
          <w:lang w:val="en-US"/>
        </w:rPr>
        <w:t>)</w:t>
      </w:r>
    </w:p>
    <w:p w14:paraId="5A1D304D" w14:textId="4448EDE9" w:rsidR="00EB3DCB" w:rsidRPr="00EB3DCB" w:rsidRDefault="00EB3DCB" w:rsidP="00C6661A">
      <w:pPr>
        <w:spacing w:after="0" w:line="240" w:lineRule="auto"/>
        <w:jc w:val="both"/>
        <w:rPr>
          <w:color w:val="000000" w:themeColor="text1"/>
          <w:lang w:val="id-ID"/>
        </w:rPr>
      </w:pPr>
      <w:r w:rsidRPr="00EB3DCB">
        <w:rPr>
          <w:color w:val="000000" w:themeColor="text1"/>
          <w:lang w:val="id-ID"/>
        </w:rPr>
        <w:t>Uji Koefisien Determinasi (R²) digunakan untuk mengukur seberapa besar kemampuan variabel independen dalam menjelaskan variasi perubahan variabel dependen, yaitu ketahanan pangan rumah tangga (Y). Semakin tinggi nilai R², semakin baik model dalam menjelaskan hubungan antarvariabel.</w:t>
      </w:r>
    </w:p>
    <w:p w14:paraId="7B7292DC" w14:textId="77777777" w:rsidR="00C6661A" w:rsidRDefault="00C6661A" w:rsidP="00EB3DCB">
      <w:pPr>
        <w:spacing w:after="0" w:line="240" w:lineRule="auto"/>
        <w:jc w:val="both"/>
        <w:rPr>
          <w:b/>
          <w:bCs/>
          <w:color w:val="000000" w:themeColor="text1"/>
          <w:lang w:val="en-US"/>
        </w:rPr>
      </w:pPr>
    </w:p>
    <w:p w14:paraId="2CD2D1B7" w14:textId="2D2ABE5C" w:rsidR="00EB3DCB" w:rsidRPr="00EB3DCB" w:rsidRDefault="00EB3DCB" w:rsidP="00EB3DCB">
      <w:pPr>
        <w:spacing w:after="0" w:line="240" w:lineRule="auto"/>
        <w:jc w:val="both"/>
        <w:rPr>
          <w:b/>
          <w:bCs/>
          <w:color w:val="000000" w:themeColor="text1"/>
          <w:lang w:val="id-ID"/>
        </w:rPr>
      </w:pPr>
      <w:r w:rsidRPr="00EB3DCB">
        <w:rPr>
          <w:b/>
          <w:bCs/>
          <w:color w:val="000000" w:themeColor="text1"/>
          <w:lang w:val="id-ID"/>
        </w:rPr>
        <w:t xml:space="preserve">Tabel </w:t>
      </w:r>
      <w:r w:rsidR="00EB4B92">
        <w:rPr>
          <w:b/>
          <w:bCs/>
          <w:color w:val="000000" w:themeColor="text1"/>
          <w:lang w:val="id-ID"/>
        </w:rPr>
        <w:t>7</w:t>
      </w:r>
      <w:r w:rsidRPr="00EB3DCB">
        <w:rPr>
          <w:b/>
          <w:bCs/>
          <w:color w:val="000000" w:themeColor="text1"/>
          <w:lang w:val="id-ID"/>
        </w:rPr>
        <w:t>. Uji Koefisien Determinasi (R</w:t>
      </w:r>
      <w:r w:rsidRPr="00EB3DCB">
        <w:rPr>
          <w:b/>
          <w:bCs/>
          <w:color w:val="000000" w:themeColor="text1"/>
          <w:vertAlign w:val="superscript"/>
          <w:lang w:val="id-ID"/>
        </w:rPr>
        <w:t>2</w:t>
      </w:r>
      <w:r w:rsidRPr="00EB3DCB">
        <w:rPr>
          <w:b/>
          <w:bCs/>
          <w:color w:val="000000" w:themeColor="text1"/>
          <w:lang w:val="id-ID"/>
        </w:rPr>
        <w:t>)</w:t>
      </w:r>
    </w:p>
    <w:p w14:paraId="2EC427DB" w14:textId="2B0269DF" w:rsidR="00EB3DCB" w:rsidRPr="00EB3DCB" w:rsidRDefault="00EB3DCB" w:rsidP="00074F65">
      <w:pPr>
        <w:tabs>
          <w:tab w:val="center" w:pos="4536"/>
        </w:tabs>
        <w:spacing w:after="0" w:line="240" w:lineRule="auto"/>
        <w:jc w:val="both"/>
        <w:rPr>
          <w:b/>
          <w:bCs/>
          <w:color w:val="000000" w:themeColor="text1"/>
          <w:lang w:val="id-ID"/>
        </w:rPr>
      </w:pPr>
      <w:r w:rsidRPr="00EB3DCB">
        <w:rPr>
          <w:b/>
          <w:bCs/>
        </w:rPr>
        <w:t>Model Summary</w:t>
      </w:r>
      <w:r w:rsidR="00074F65">
        <w:rPr>
          <w:b/>
          <w:bCs/>
        </w:rPr>
        <w:tab/>
      </w:r>
    </w:p>
    <w:tbl>
      <w:tblPr>
        <w:tblpPr w:leftFromText="180" w:rightFromText="180" w:vertAnchor="text" w:horzAnchor="margin" w:tblpY="103"/>
        <w:tblW w:w="9211" w:type="dxa"/>
        <w:tblBorders>
          <w:insideH w:val="single" w:sz="4" w:space="0" w:color="auto"/>
        </w:tblBorders>
        <w:tblLayout w:type="fixed"/>
        <w:tblCellMar>
          <w:left w:w="0" w:type="dxa"/>
          <w:right w:w="0" w:type="dxa"/>
        </w:tblCellMar>
        <w:tblLook w:val="0000" w:firstRow="0" w:lastRow="0" w:firstColumn="0" w:lastColumn="0" w:noHBand="0" w:noVBand="0"/>
      </w:tblPr>
      <w:tblGrid>
        <w:gridCol w:w="940"/>
        <w:gridCol w:w="1212"/>
        <w:gridCol w:w="1286"/>
        <w:gridCol w:w="1739"/>
        <w:gridCol w:w="4034"/>
      </w:tblGrid>
      <w:tr w:rsidR="00EB3DCB" w:rsidRPr="00EB3DCB" w14:paraId="63DD18FC" w14:textId="77777777" w:rsidTr="003318AA">
        <w:trPr>
          <w:cantSplit/>
          <w:trHeight w:val="277"/>
        </w:trPr>
        <w:tc>
          <w:tcPr>
            <w:tcW w:w="9211" w:type="dxa"/>
            <w:gridSpan w:val="5"/>
            <w:shd w:val="clear" w:color="auto" w:fill="FFFFFF"/>
            <w:vAlign w:val="center"/>
          </w:tcPr>
          <w:p w14:paraId="3639D640" w14:textId="77777777" w:rsidR="00EB3DCB" w:rsidRPr="00EB3DCB" w:rsidRDefault="00EB3DCB" w:rsidP="00EB3DCB">
            <w:pPr>
              <w:spacing w:after="0" w:line="240" w:lineRule="auto"/>
              <w:rPr>
                <w:i/>
                <w:iCs/>
              </w:rPr>
            </w:pPr>
          </w:p>
        </w:tc>
      </w:tr>
      <w:tr w:rsidR="00EB3DCB" w:rsidRPr="00EB3DCB" w14:paraId="18B8E3EE" w14:textId="77777777" w:rsidTr="003318AA">
        <w:trPr>
          <w:cantSplit/>
          <w:trHeight w:val="285"/>
        </w:trPr>
        <w:tc>
          <w:tcPr>
            <w:tcW w:w="940" w:type="dxa"/>
            <w:vMerge w:val="restart"/>
            <w:shd w:val="clear" w:color="auto" w:fill="FFFFFF"/>
            <w:vAlign w:val="bottom"/>
          </w:tcPr>
          <w:p w14:paraId="34145D2E" w14:textId="77777777" w:rsidR="00EB3DCB" w:rsidRPr="00EB3DCB" w:rsidRDefault="00EB3DCB" w:rsidP="00EB3DCB">
            <w:pPr>
              <w:spacing w:after="0" w:line="240" w:lineRule="auto"/>
              <w:jc w:val="center"/>
              <w:rPr>
                <w:i/>
                <w:iCs/>
              </w:rPr>
            </w:pPr>
            <w:r w:rsidRPr="00EB3DCB">
              <w:rPr>
                <w:i/>
                <w:iCs/>
              </w:rPr>
              <w:t>Model</w:t>
            </w:r>
          </w:p>
        </w:tc>
        <w:tc>
          <w:tcPr>
            <w:tcW w:w="1212" w:type="dxa"/>
            <w:vMerge w:val="restart"/>
            <w:shd w:val="clear" w:color="auto" w:fill="FFFFFF"/>
            <w:vAlign w:val="bottom"/>
          </w:tcPr>
          <w:p w14:paraId="0C477B31" w14:textId="77777777" w:rsidR="00EB3DCB" w:rsidRPr="00EB3DCB" w:rsidRDefault="00EB3DCB" w:rsidP="00EB3DCB">
            <w:pPr>
              <w:spacing w:after="0" w:line="240" w:lineRule="auto"/>
              <w:jc w:val="center"/>
              <w:rPr>
                <w:i/>
                <w:iCs/>
              </w:rPr>
            </w:pPr>
            <w:r w:rsidRPr="00EB3DCB">
              <w:rPr>
                <w:i/>
                <w:iCs/>
              </w:rPr>
              <w:t>R</w:t>
            </w:r>
          </w:p>
        </w:tc>
        <w:tc>
          <w:tcPr>
            <w:tcW w:w="1286" w:type="dxa"/>
            <w:vMerge w:val="restart"/>
            <w:shd w:val="clear" w:color="auto" w:fill="FFFFFF"/>
            <w:vAlign w:val="bottom"/>
          </w:tcPr>
          <w:p w14:paraId="2D4DB33C" w14:textId="77777777" w:rsidR="00EB3DCB" w:rsidRPr="00EB3DCB" w:rsidRDefault="00EB3DCB" w:rsidP="00EB3DCB">
            <w:pPr>
              <w:spacing w:after="0" w:line="240" w:lineRule="auto"/>
              <w:jc w:val="center"/>
              <w:rPr>
                <w:i/>
                <w:iCs/>
              </w:rPr>
            </w:pPr>
            <w:r w:rsidRPr="00EB3DCB">
              <w:rPr>
                <w:i/>
                <w:iCs/>
              </w:rPr>
              <w:t>R Square</w:t>
            </w:r>
          </w:p>
        </w:tc>
        <w:tc>
          <w:tcPr>
            <w:tcW w:w="1739" w:type="dxa"/>
            <w:vMerge w:val="restart"/>
            <w:shd w:val="clear" w:color="auto" w:fill="FFFFFF"/>
            <w:vAlign w:val="bottom"/>
          </w:tcPr>
          <w:p w14:paraId="18E1D3A0" w14:textId="77777777" w:rsidR="00EB3DCB" w:rsidRPr="00EB3DCB" w:rsidRDefault="00EB3DCB" w:rsidP="00EB3DCB">
            <w:pPr>
              <w:spacing w:after="0" w:line="240" w:lineRule="auto"/>
              <w:jc w:val="center"/>
              <w:rPr>
                <w:i/>
                <w:iCs/>
              </w:rPr>
            </w:pPr>
            <w:r w:rsidRPr="00EB3DCB">
              <w:rPr>
                <w:i/>
                <w:iCs/>
              </w:rPr>
              <w:t>Adjusted R Square</w:t>
            </w:r>
          </w:p>
        </w:tc>
        <w:tc>
          <w:tcPr>
            <w:tcW w:w="4034" w:type="dxa"/>
            <w:vMerge w:val="restart"/>
            <w:shd w:val="clear" w:color="auto" w:fill="FFFFFF"/>
            <w:vAlign w:val="bottom"/>
          </w:tcPr>
          <w:p w14:paraId="2A8057E6" w14:textId="77777777" w:rsidR="00EB3DCB" w:rsidRPr="00EB3DCB" w:rsidRDefault="00EB3DCB" w:rsidP="00EB3DCB">
            <w:pPr>
              <w:spacing w:after="0" w:line="240" w:lineRule="auto"/>
              <w:jc w:val="center"/>
              <w:rPr>
                <w:i/>
                <w:iCs/>
              </w:rPr>
            </w:pPr>
            <w:r w:rsidRPr="00EB3DCB">
              <w:rPr>
                <w:i/>
                <w:iCs/>
              </w:rPr>
              <w:t>Std. Error of the Estimate</w:t>
            </w:r>
          </w:p>
        </w:tc>
      </w:tr>
      <w:tr w:rsidR="00EB3DCB" w:rsidRPr="00EB3DCB" w14:paraId="3C8AC68C" w14:textId="77777777" w:rsidTr="003318AA">
        <w:trPr>
          <w:cantSplit/>
          <w:trHeight w:val="285"/>
        </w:trPr>
        <w:tc>
          <w:tcPr>
            <w:tcW w:w="940" w:type="dxa"/>
            <w:vMerge/>
            <w:shd w:val="clear" w:color="auto" w:fill="FFFFFF"/>
            <w:vAlign w:val="bottom"/>
          </w:tcPr>
          <w:p w14:paraId="080CDEFB" w14:textId="77777777" w:rsidR="00EB3DCB" w:rsidRPr="00EB3DCB" w:rsidRDefault="00EB3DCB" w:rsidP="00EB3DCB">
            <w:pPr>
              <w:spacing w:after="0" w:line="240" w:lineRule="auto"/>
              <w:jc w:val="both"/>
            </w:pPr>
          </w:p>
        </w:tc>
        <w:tc>
          <w:tcPr>
            <w:tcW w:w="1212" w:type="dxa"/>
            <w:vMerge/>
            <w:shd w:val="clear" w:color="auto" w:fill="FFFFFF"/>
            <w:vAlign w:val="bottom"/>
          </w:tcPr>
          <w:p w14:paraId="70D2FB87" w14:textId="77777777" w:rsidR="00EB3DCB" w:rsidRPr="00EB3DCB" w:rsidRDefault="00EB3DCB" w:rsidP="00EB3DCB">
            <w:pPr>
              <w:spacing w:after="0" w:line="240" w:lineRule="auto"/>
              <w:jc w:val="both"/>
            </w:pPr>
          </w:p>
        </w:tc>
        <w:tc>
          <w:tcPr>
            <w:tcW w:w="1286" w:type="dxa"/>
            <w:vMerge/>
            <w:shd w:val="clear" w:color="auto" w:fill="FFFFFF"/>
            <w:vAlign w:val="bottom"/>
          </w:tcPr>
          <w:p w14:paraId="69085AA8" w14:textId="77777777" w:rsidR="00EB3DCB" w:rsidRPr="00EB3DCB" w:rsidRDefault="00EB3DCB" w:rsidP="00EB3DCB">
            <w:pPr>
              <w:spacing w:after="0" w:line="240" w:lineRule="auto"/>
              <w:jc w:val="both"/>
            </w:pPr>
          </w:p>
        </w:tc>
        <w:tc>
          <w:tcPr>
            <w:tcW w:w="1739" w:type="dxa"/>
            <w:vMerge/>
            <w:shd w:val="clear" w:color="auto" w:fill="FFFFFF"/>
            <w:vAlign w:val="bottom"/>
          </w:tcPr>
          <w:p w14:paraId="008ADF8A" w14:textId="77777777" w:rsidR="00EB3DCB" w:rsidRPr="00EB3DCB" w:rsidRDefault="00EB3DCB" w:rsidP="00EB3DCB">
            <w:pPr>
              <w:spacing w:after="0" w:line="240" w:lineRule="auto"/>
              <w:jc w:val="both"/>
            </w:pPr>
          </w:p>
        </w:tc>
        <w:tc>
          <w:tcPr>
            <w:tcW w:w="4034" w:type="dxa"/>
            <w:vMerge/>
            <w:shd w:val="clear" w:color="auto" w:fill="FFFFFF"/>
            <w:vAlign w:val="bottom"/>
          </w:tcPr>
          <w:p w14:paraId="6AAE51F3" w14:textId="77777777" w:rsidR="00EB3DCB" w:rsidRPr="00EB3DCB" w:rsidRDefault="00EB3DCB" w:rsidP="00EB3DCB">
            <w:pPr>
              <w:spacing w:after="0" w:line="240" w:lineRule="auto"/>
              <w:jc w:val="both"/>
            </w:pPr>
          </w:p>
        </w:tc>
      </w:tr>
      <w:tr w:rsidR="00EB3DCB" w:rsidRPr="00EB3DCB" w14:paraId="78295D08" w14:textId="77777777" w:rsidTr="003318AA">
        <w:trPr>
          <w:cantSplit/>
          <w:trHeight w:val="277"/>
        </w:trPr>
        <w:tc>
          <w:tcPr>
            <w:tcW w:w="940" w:type="dxa"/>
          </w:tcPr>
          <w:p w14:paraId="32EFC40C" w14:textId="77777777" w:rsidR="00EB3DCB" w:rsidRPr="00EB3DCB" w:rsidRDefault="00EB3DCB" w:rsidP="00EB3DCB">
            <w:pPr>
              <w:spacing w:after="0" w:line="240" w:lineRule="auto"/>
              <w:jc w:val="center"/>
            </w:pPr>
            <w:r w:rsidRPr="00EB3DCB">
              <w:t>1</w:t>
            </w:r>
          </w:p>
        </w:tc>
        <w:tc>
          <w:tcPr>
            <w:tcW w:w="1212" w:type="dxa"/>
            <w:shd w:val="clear" w:color="auto" w:fill="FFFFFF"/>
          </w:tcPr>
          <w:p w14:paraId="3340DC5F" w14:textId="77777777" w:rsidR="00EB3DCB" w:rsidRPr="00EB3DCB" w:rsidRDefault="00EB3DCB" w:rsidP="00EB3DCB">
            <w:pPr>
              <w:spacing w:after="0" w:line="240" w:lineRule="auto"/>
              <w:jc w:val="center"/>
            </w:pPr>
            <w:r w:rsidRPr="00EB3DCB">
              <w:t>.867</w:t>
            </w:r>
            <w:r w:rsidRPr="00EB3DCB">
              <w:rPr>
                <w:vertAlign w:val="superscript"/>
              </w:rPr>
              <w:t>a</w:t>
            </w:r>
          </w:p>
        </w:tc>
        <w:tc>
          <w:tcPr>
            <w:tcW w:w="1286" w:type="dxa"/>
            <w:shd w:val="clear" w:color="auto" w:fill="FFFFFF"/>
          </w:tcPr>
          <w:p w14:paraId="5A530473" w14:textId="77777777" w:rsidR="00EB3DCB" w:rsidRPr="00EB3DCB" w:rsidRDefault="00EB3DCB" w:rsidP="00EB3DCB">
            <w:pPr>
              <w:spacing w:after="0" w:line="240" w:lineRule="auto"/>
              <w:jc w:val="center"/>
            </w:pPr>
            <w:r w:rsidRPr="00EB3DCB">
              <w:t>.706</w:t>
            </w:r>
          </w:p>
        </w:tc>
        <w:tc>
          <w:tcPr>
            <w:tcW w:w="1739" w:type="dxa"/>
            <w:shd w:val="clear" w:color="auto" w:fill="FFFFFF"/>
          </w:tcPr>
          <w:p w14:paraId="3DDE84BF" w14:textId="77777777" w:rsidR="00EB3DCB" w:rsidRPr="00EB3DCB" w:rsidRDefault="00EB3DCB" w:rsidP="00EB3DCB">
            <w:pPr>
              <w:spacing w:after="0" w:line="240" w:lineRule="auto"/>
              <w:jc w:val="center"/>
            </w:pPr>
            <w:r w:rsidRPr="00EB3DCB">
              <w:t>.673</w:t>
            </w:r>
          </w:p>
        </w:tc>
        <w:tc>
          <w:tcPr>
            <w:tcW w:w="4034" w:type="dxa"/>
            <w:shd w:val="clear" w:color="auto" w:fill="FFFFFF"/>
          </w:tcPr>
          <w:p w14:paraId="1C976C7B" w14:textId="77777777" w:rsidR="00EB3DCB" w:rsidRPr="00EB3DCB" w:rsidRDefault="00EB3DCB" w:rsidP="00EB3DCB">
            <w:pPr>
              <w:spacing w:after="0" w:line="240" w:lineRule="auto"/>
              <w:jc w:val="center"/>
            </w:pPr>
            <w:r w:rsidRPr="00EB3DCB">
              <w:t>.901083</w:t>
            </w:r>
          </w:p>
        </w:tc>
      </w:tr>
      <w:tr w:rsidR="00EB3DCB" w:rsidRPr="00EB3DCB" w14:paraId="504A8BC8" w14:textId="77777777" w:rsidTr="003318AA">
        <w:trPr>
          <w:cantSplit/>
          <w:trHeight w:val="277"/>
        </w:trPr>
        <w:tc>
          <w:tcPr>
            <w:tcW w:w="9211" w:type="dxa"/>
            <w:gridSpan w:val="5"/>
            <w:shd w:val="clear" w:color="auto" w:fill="FFFFFF"/>
          </w:tcPr>
          <w:p w14:paraId="65E2FE81" w14:textId="77777777" w:rsidR="00EB3DCB" w:rsidRPr="00EB3DCB" w:rsidRDefault="00EB3DCB" w:rsidP="00EB3DCB">
            <w:pPr>
              <w:spacing w:after="0" w:line="240" w:lineRule="auto"/>
              <w:jc w:val="both"/>
            </w:pPr>
            <w:r w:rsidRPr="00EB3DCB">
              <w:t xml:space="preserve">a. </w:t>
            </w:r>
            <w:r w:rsidRPr="00EB3DCB">
              <w:rPr>
                <w:i/>
                <w:iCs/>
              </w:rPr>
              <w:t>Predictors:</w:t>
            </w:r>
            <w:r w:rsidRPr="00EB3DCB">
              <w:t xml:space="preserve"> (Constant), X</w:t>
            </w:r>
            <w:r w:rsidRPr="00EB3DCB">
              <w:rPr>
                <w:vertAlign w:val="subscript"/>
              </w:rPr>
              <w:t>1,</w:t>
            </w:r>
            <w:r w:rsidRPr="00EB3DCB">
              <w:t xml:space="preserve"> X</w:t>
            </w:r>
            <w:r w:rsidRPr="00EB3DCB">
              <w:rPr>
                <w:vertAlign w:val="subscript"/>
              </w:rPr>
              <w:t>2,</w:t>
            </w:r>
            <w:r w:rsidRPr="00EB3DCB">
              <w:t xml:space="preserve"> X</w:t>
            </w:r>
            <w:r w:rsidRPr="00EB3DCB">
              <w:rPr>
                <w:vertAlign w:val="subscript"/>
              </w:rPr>
              <w:t>3,</w:t>
            </w:r>
            <w:r w:rsidRPr="00EB3DCB">
              <w:t xml:space="preserve"> X</w:t>
            </w:r>
            <w:r w:rsidRPr="00EB3DCB">
              <w:rPr>
                <w:vertAlign w:val="subscript"/>
              </w:rPr>
              <w:t>4,</w:t>
            </w:r>
            <w:r w:rsidRPr="00EB3DCB">
              <w:t xml:space="preserve"> X</w:t>
            </w:r>
            <w:r w:rsidRPr="00EB3DCB">
              <w:rPr>
                <w:vertAlign w:val="subscript"/>
              </w:rPr>
              <w:t>5</w:t>
            </w:r>
          </w:p>
        </w:tc>
      </w:tr>
      <w:tr w:rsidR="00EB3DCB" w:rsidRPr="00EB3DCB" w14:paraId="1B767887" w14:textId="77777777" w:rsidTr="003318AA">
        <w:trPr>
          <w:cantSplit/>
          <w:trHeight w:val="255"/>
        </w:trPr>
        <w:tc>
          <w:tcPr>
            <w:tcW w:w="9211" w:type="dxa"/>
            <w:gridSpan w:val="5"/>
            <w:shd w:val="clear" w:color="auto" w:fill="FFFFFF"/>
          </w:tcPr>
          <w:p w14:paraId="56E1473B" w14:textId="77777777" w:rsidR="00EB3DCB" w:rsidRPr="00EB3DCB" w:rsidRDefault="00EB3DCB" w:rsidP="00EB3DCB">
            <w:pPr>
              <w:spacing w:after="0" w:line="240" w:lineRule="auto"/>
              <w:jc w:val="both"/>
            </w:pPr>
            <w:r w:rsidRPr="00EB3DCB">
              <w:t xml:space="preserve">b. </w:t>
            </w:r>
            <w:r w:rsidRPr="00EB3DCB">
              <w:rPr>
                <w:i/>
                <w:iCs/>
              </w:rPr>
              <w:t>Dependent Variable:</w:t>
            </w:r>
            <w:r w:rsidRPr="00EB3DCB">
              <w:t xml:space="preserve"> Y</w:t>
            </w:r>
          </w:p>
        </w:tc>
      </w:tr>
    </w:tbl>
    <w:p w14:paraId="7578F070" w14:textId="77777777" w:rsidR="00C6661A" w:rsidRDefault="00C6661A" w:rsidP="00C6661A">
      <w:pPr>
        <w:spacing w:after="0" w:line="240" w:lineRule="auto"/>
        <w:jc w:val="both"/>
        <w:rPr>
          <w:color w:val="000000" w:themeColor="text1"/>
          <w:lang w:val="en-US"/>
        </w:rPr>
      </w:pPr>
    </w:p>
    <w:p w14:paraId="6C151F4D" w14:textId="77777777" w:rsidR="00EB3DCB" w:rsidRPr="00EB3DCB" w:rsidRDefault="00EB3DCB" w:rsidP="00C6661A">
      <w:pPr>
        <w:spacing w:after="0" w:line="240" w:lineRule="auto"/>
        <w:jc w:val="both"/>
        <w:rPr>
          <w:color w:val="000000" w:themeColor="text1"/>
          <w:lang w:val="id-ID"/>
        </w:rPr>
      </w:pPr>
      <w:r w:rsidRPr="00EB3DCB">
        <w:rPr>
          <w:color w:val="000000" w:themeColor="text1"/>
          <w:lang w:val="id-ID"/>
        </w:rPr>
        <w:t xml:space="preserve">Nilai R² sebesar 0,706 menunjukkan bahwa 70,6% variasi ketahanan pangan rumah tangga dapat dijelaskan oleh variabel pendapatan, pengeluaran pangan, harga pangan, akses pasar, dan diversifikasi pendapatan. </w:t>
      </w:r>
      <w:bookmarkStart w:id="4" w:name="_Hlk214541273"/>
      <w:r w:rsidRPr="00EB3DCB">
        <w:rPr>
          <w:color w:val="000000" w:themeColor="text1"/>
          <w:lang w:val="id-ID"/>
        </w:rPr>
        <w:t>Nilai Adjusted R² sebesar 0,673 mengonfirmasi bahwa model tetap memiliki kemampuan penjelas yang kuat meskipun disesuaikan dengan jumlah variabel dan sampel. Dengan nilai R sebesar 0,867, model regresi menunjukkan hubungan yang sangat kuat antara variabel independen dan ketahanan pangan rumah tangga di kawasan gambut Kota Palangka Raya</w:t>
      </w:r>
      <w:bookmarkEnd w:id="4"/>
      <w:r w:rsidRPr="00EB3DCB">
        <w:rPr>
          <w:color w:val="000000" w:themeColor="text1"/>
          <w:lang w:val="id-ID"/>
        </w:rPr>
        <w:t>.</w:t>
      </w:r>
    </w:p>
    <w:p w14:paraId="015EAED5" w14:textId="77777777" w:rsidR="00EB3DCB" w:rsidRPr="00EB3DCB" w:rsidRDefault="00EB3DCB" w:rsidP="00EB3DCB">
      <w:pPr>
        <w:spacing w:after="0" w:line="240" w:lineRule="auto"/>
        <w:jc w:val="both"/>
        <w:rPr>
          <w:color w:val="000000" w:themeColor="text1"/>
          <w:lang w:val="id-ID"/>
        </w:rPr>
      </w:pPr>
      <w:r w:rsidRPr="00EB3DCB">
        <w:rPr>
          <w:color w:val="000000" w:themeColor="text1"/>
          <w:lang w:val="id-ID"/>
        </w:rPr>
        <w:t>Persamaan :</w:t>
      </w:r>
    </w:p>
    <w:p w14:paraId="2865DD8C" w14:textId="77777777" w:rsidR="00EB3DCB" w:rsidRPr="00EB3DCB" w:rsidRDefault="00EB3DCB" w:rsidP="00EB3DCB">
      <w:pPr>
        <w:spacing w:after="0" w:line="240" w:lineRule="auto"/>
        <w:jc w:val="center"/>
      </w:pPr>
      <m:oMathPara>
        <m:oMath>
          <m:r>
            <w:rPr>
              <w:rFonts w:ascii="Cambria Math" w:hAnsi="Cambria Math"/>
            </w:rPr>
            <m:t>Y=22,115</m:t>
          </m:r>
          <m:r>
            <m:rPr>
              <m:sty m:val="p"/>
            </m:rPr>
            <w:rPr>
              <w:rFonts w:ascii="Cambria Math" w:eastAsia="Cambria Math" w:hAnsi="Cambria Math"/>
              <w:position w:val="2"/>
            </w:rPr>
            <m:t>+0,29</m:t>
          </m:r>
          <m:r>
            <m:rPr>
              <m:sty m:val="p"/>
            </m:rPr>
            <w:rPr>
              <w:rFonts w:ascii="Cambria Math" w:hAnsi="Cambria Math"/>
              <w:spacing w:val="-1"/>
              <w:position w:val="2"/>
            </w:rPr>
            <m:t xml:space="preserve"> </m:t>
          </m:r>
          <m:sSub>
            <m:sSubPr>
              <m:ctrlPr>
                <w:rPr>
                  <w:rFonts w:ascii="Cambria Math" w:hAnsi="Cambria Math"/>
                  <w:spacing w:val="-1"/>
                  <w:position w:val="2"/>
                </w:rPr>
              </m:ctrlPr>
            </m:sSubPr>
            <m:e>
              <m:r>
                <w:rPr>
                  <w:rFonts w:ascii="Cambria Math" w:hAnsi="Cambria Math"/>
                  <w:spacing w:val="-1"/>
                  <w:position w:val="2"/>
                </w:rPr>
                <m:t>X</m:t>
              </m:r>
            </m:e>
            <m:sub>
              <m:r>
                <w:rPr>
                  <w:rFonts w:ascii="Cambria Math" w:hAnsi="Cambria Math"/>
                  <w:spacing w:val="-1"/>
                  <w:position w:val="2"/>
                </w:rPr>
                <m:t>1</m:t>
              </m:r>
            </m:sub>
          </m:sSub>
          <m:r>
            <w:rPr>
              <w:rFonts w:ascii="Cambria Math" w:hAnsi="Cambria Math"/>
            </w:rPr>
            <m:t>-1,612</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+1,491</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+0,091</m:t>
          </m:r>
          <m:sSub>
            <m:sSubPr>
              <m:ctrlPr>
                <w:rPr>
                  <w:rFonts w:ascii="Cambria Math" w:hAnsi="Cambria Math"/>
                  <w:i/>
                </w:rPr>
              </m:ctrlPr>
            </m:sSubPr>
            <m:e>
              <m:r>
                <w:rPr>
                  <w:rFonts w:ascii="Cambria Math" w:hAnsi="Cambria Math"/>
                </w:rPr>
                <m:t>X</m:t>
              </m:r>
            </m:e>
            <m:sub>
              <m:r>
                <w:rPr>
                  <w:rFonts w:ascii="Cambria Math" w:hAnsi="Cambria Math"/>
                </w:rPr>
                <m:t>4</m:t>
              </m:r>
            </m:sub>
          </m:sSub>
          <m:r>
            <w:rPr>
              <w:rFonts w:ascii="Cambria Math" w:hAnsi="Cambria Math"/>
            </w:rPr>
            <m:t>-0,242</m:t>
          </m:r>
          <m:sSub>
            <m:sSubPr>
              <m:ctrlPr>
                <w:rPr>
                  <w:rFonts w:ascii="Cambria Math" w:hAnsi="Cambria Math"/>
                  <w:i/>
                </w:rPr>
              </m:ctrlPr>
            </m:sSubPr>
            <m:e>
              <m:r>
                <w:rPr>
                  <w:rFonts w:ascii="Cambria Math" w:hAnsi="Cambria Math"/>
                </w:rPr>
                <m:t>X</m:t>
              </m:r>
            </m:e>
            <m:sub>
              <m:r>
                <w:rPr>
                  <w:rFonts w:ascii="Cambria Math" w:hAnsi="Cambria Math"/>
                </w:rPr>
                <m:t>5</m:t>
              </m:r>
            </m:sub>
          </m:sSub>
        </m:oMath>
      </m:oMathPara>
    </w:p>
    <w:p w14:paraId="4A3B62A4" w14:textId="77777777" w:rsidR="00EB3DCB" w:rsidRPr="00EB3DCB" w:rsidRDefault="00EB3DCB" w:rsidP="00C6661A">
      <w:pPr>
        <w:spacing w:after="0" w:line="240" w:lineRule="auto"/>
        <w:jc w:val="both"/>
        <w:rPr>
          <w:color w:val="000000" w:themeColor="text1"/>
          <w:lang w:val="id-ID"/>
        </w:rPr>
      </w:pPr>
      <w:r w:rsidRPr="00EB3DCB">
        <w:rPr>
          <w:color w:val="000000" w:themeColor="text1"/>
          <w:lang w:val="id-ID"/>
        </w:rPr>
        <w:t>22,115 adalah konstanta, yaitu nilai ketahanan pangan rumah tangga (Y) ketika seluruh variabel independen bernilai 0. Artinya, tanpa pengaruh pendapatan, pengeluaran pangan, harga pangan, akses pasar, dan diversifikasi pendapatan, tingkat dasar ketahanan pangan rumah tangga berada pada angka 22,115.</w:t>
      </w:r>
    </w:p>
    <w:p w14:paraId="63440F95" w14:textId="751ACDE6" w:rsidR="00EB3DCB" w:rsidRPr="00EB3DCB" w:rsidRDefault="00EB3DCB" w:rsidP="00C6661A">
      <w:pPr>
        <w:spacing w:after="0" w:line="240" w:lineRule="auto"/>
        <w:jc w:val="both"/>
        <w:rPr>
          <w:color w:val="000000" w:themeColor="text1"/>
          <w:lang w:val="id-ID"/>
        </w:rPr>
      </w:pPr>
      <w:r w:rsidRPr="00EB3DCB">
        <w:rPr>
          <w:color w:val="000000" w:themeColor="text1"/>
          <w:lang w:val="id-ID"/>
        </w:rPr>
        <w:t xml:space="preserve">0,294X₁ menunjukkan bahwa setiap peningkatan 1 juta rupiah pada pendapatan rumah tangga (X₁) akan meningkatkan ketahanan pangan sebesar 0,294 Kg. Semakin besar pendapatan, semakin kuat kemampuan rumah tangga memenuhi kebutuhan pangan yang layak. Sejalan dengan studi </w:t>
      </w:r>
      <w:r w:rsidRPr="00EB3DCB">
        <w:rPr>
          <w:color w:val="000000" w:themeColor="text1"/>
          <w:lang w:val="id-ID"/>
        </w:rPr>
        <w:fldChar w:fldCharType="begin" w:fldLock="1"/>
      </w:r>
      <w:r w:rsidR="009631D0">
        <w:rPr>
          <w:color w:val="000000" w:themeColor="text1"/>
          <w:lang w:val="id-ID"/>
        </w:rPr>
        <w:instrText>ADDIN CSL_CITATION {"citationItems":[{"id":"ITEM-1","itemData":{"DOI":"10.3390/su15054131","ISSN":"2071-1050","abstract":"The COVID-19 pandemic has impacted national and household food security in Indonesia. The objectives of this study were to: (1) identify the socio-economic characteristics of Indonesian households related to food security, (2) analyze the factors that have affected household food security during the COVID-19 pandemic, and (3) provide recommendations for improving programs to increase household food security. The study was conducted in eight provinces in Indonesia, namely North Sumatra, Lampung, West Java, Central Java, East Java, South Kalimantan, South Sulawesi, and West Nusa Tenggara. Data collection was carried out from April to July 2020. The results showed that 50.63% of the households surveyed were food insecure. The binary-logit-regression-model results showed that variables of gender, age, family size, education, occupation, income, and expenditure on food had a significant effect on household food security status. Variables that had a positive influence on household food security were gender, age, education, occupation, income, and food expenditure. On the other hand, household size had a negative effect on household food security. The marginal effect of gender was 0.035, age was 0.058, education was 0.192, type of work was 0.016, income level was 0.521, and food expenditure was 0.114, while for the number of family members the marginal effect was 15.725. This study was conducted in eight provinces affected by COVID-19, using the Household-Food- Insecurity-Access-Scale and binary-logit model approaches, which had never been performed before. Policy and program recommendations for increasing household food security in Indonesia are presented.","author":[{"dropping-particle":"","family":"Akbar","given":"Akbar","non-dropping-particle":"","parse-names":false,"suffix":""},{"dropping-particle":"","family":"Darma","given":"Rahim","non-dropping-particle":"","parse-names":false,"suffix":""},{"dropping-particle":"","family":"Fahmid","given":"Imam Mujahidin","non-dropping-particle":"","parse-names":false,"suffix":""},{"dropping-particle":"","family":"Irawan","given":"Andi","non-dropping-particle":"","parse-names":false,"suffix":""}],"container-title":"Sustainability","id":"ITEM-1","issue":"5","issued":{"date-parts":[["2023"]]},"title":"Determinants of Household Food Security during the COVID-19 Pandemic in Indonesia","type":"article-journal","volume":"15"},"uris":["http://www.mendeley.com/documents/?uuid=d8da63bc-d7aa-491b-865d-5c84a96736d8"]}],"mendeley":{"formattedCitation":"(Akbar et al., 2023)","plainTextFormattedCitation":"(Akbar et al., 2023)","previouslyFormattedCitation":"(Akbar et al., 2023)"},"properties":{"noteIndex":0},"schema":"https://github.com/citation-style-language/schema/raw/master/csl-citation.json"}</w:instrText>
      </w:r>
      <w:r w:rsidRPr="00EB3DCB">
        <w:rPr>
          <w:color w:val="000000" w:themeColor="text1"/>
          <w:lang w:val="id-ID"/>
        </w:rPr>
        <w:fldChar w:fldCharType="separate"/>
      </w:r>
      <w:r w:rsidRPr="00756791">
        <w:rPr>
          <w:noProof/>
          <w:color w:val="000000" w:themeColor="text1"/>
          <w:lang w:val="id-ID"/>
        </w:rPr>
        <w:t>(Akbar et al., 2023)</w:t>
      </w:r>
      <w:r w:rsidRPr="00EB3DCB">
        <w:rPr>
          <w:color w:val="000000" w:themeColor="text1"/>
          <w:lang w:val="id-ID"/>
        </w:rPr>
        <w:fldChar w:fldCharType="end"/>
      </w:r>
      <w:r w:rsidRPr="00EB3DCB">
        <w:rPr>
          <w:color w:val="000000" w:themeColor="text1"/>
          <w:lang w:val="id-ID"/>
        </w:rPr>
        <w:t xml:space="preserve"> menunjukkan bahwa pendapatan per kapita memiliki peran signifikan dalam meningkatkan ketahanan pangan rumah tangga, karena semakin tinggi pendapatan maka semakin besar kemampuan keluarga memenuhi kebutuhan pangan yang memadai. pengeluaran pangan juga berpengaruh signifikan, di mana proporsi pengeluaran yang semakin besar mencerminkan kerentanan ekonomi dan berpotensi menurunkan tingkat ketahanan pangan rumah tangga.</w:t>
      </w:r>
    </w:p>
    <w:p w14:paraId="4516B772" w14:textId="0FE97C17" w:rsidR="00EB3DCB" w:rsidRPr="00EB3DCB" w:rsidRDefault="00EB3DCB" w:rsidP="00C6661A">
      <w:pPr>
        <w:spacing w:after="0" w:line="240" w:lineRule="auto"/>
        <w:jc w:val="both"/>
        <w:rPr>
          <w:color w:val="000000" w:themeColor="text1"/>
          <w:lang w:val="id-ID"/>
        </w:rPr>
      </w:pPr>
      <w:r w:rsidRPr="00EB3DCB">
        <w:rPr>
          <w:color w:val="000000" w:themeColor="text1"/>
          <w:lang w:val="id-ID"/>
        </w:rPr>
        <w:t xml:space="preserve">–1,612X₂ menunjukkan bahwa setiap peningkatan satu juta rupiah pada pengeluaran pangan (X₂) akan menurunkan ketahanan pangan sebesar 1,612 kg. Semakin besar proporsi pendapatan yang dihabiskan untuk pangan, semakin rentan kondisi ketahanan pangan rumah tangga. Sejalan penelitian </w:t>
      </w:r>
      <w:r w:rsidRPr="00EB3DCB">
        <w:rPr>
          <w:color w:val="000000" w:themeColor="text1"/>
          <w:lang w:val="id-ID"/>
        </w:rPr>
        <w:fldChar w:fldCharType="begin" w:fldLock="1"/>
      </w:r>
      <w:r w:rsidR="00F26398">
        <w:rPr>
          <w:color w:val="000000" w:themeColor="text1"/>
          <w:lang w:val="id-ID"/>
        </w:rPr>
        <w:instrText>ADDIN CSL_CITATION {"citationItems":[{"id":"ITEM-1","itemData":{"DOI":"10.20473/amnt.v8i3SP.2024.22","author":[{"dropping-particle":"","family":"Purwanti","given":"Rachma","non-dropping-particle":"","parse-names":false,"suffix":""},{"dropping-particle":"","family":"Agatha","given":"Ignasia","non-dropping-particle":"","parse-names":false,"suffix":""},{"dropping-particle":"","family":"Ginting","given":"Br","non-dropping-particle":"","parse-names":false,"suffix":""},{"dropping-particle":"","family":"Aulia","given":"Nurhanna Putri","non-dropping-particle":"","parse-names":false,"suffix":""},{"dropping-particle":"","family":"Dieny","given":"Fillah Fithra","non-dropping-particle":"","parse-names":false,"suffix":""}],"id":"ITEM-1","issue":"3","issued":{"date-parts":[["2024"]]},"page":"228-239","title":"ACCESS Karakteristik Keluarga , Ketahanan Pangan , Pengeluaran Pangan , dan Keanekaragaman Pangan Keluarga dengan dan tanpa WaSt ( Wasting-Stunting ) pada Anak di Kota Semarang Family Characteristics , Food Security , Expenditure , and Dietary Diversity a","type":"article-journal","volume":"8"},"uris":["http://www.mendeley.com/documents/?uuid=7a8b2f22-f4df-4634-982a-33b1899f0119"]}],"mendeley":{"formattedCitation":"(Purwanti et al., 2024)","plainTextFormattedCitation":"(Purwanti et al., 2024)","previouslyFormattedCitation":"(Purwanti et al., 2024)"},"properties":{"noteIndex":0},"schema":"https://github.com/citation-style-language/schema/raw/master/csl-citation.json"}</w:instrText>
      </w:r>
      <w:r w:rsidRPr="00EB3DCB">
        <w:rPr>
          <w:color w:val="000000" w:themeColor="text1"/>
          <w:lang w:val="id-ID"/>
        </w:rPr>
        <w:fldChar w:fldCharType="separate"/>
      </w:r>
      <w:r w:rsidRPr="00756791">
        <w:rPr>
          <w:noProof/>
          <w:color w:val="000000" w:themeColor="text1"/>
          <w:lang w:val="id-ID"/>
        </w:rPr>
        <w:t>(Purwanti et al., 2024)</w:t>
      </w:r>
      <w:r w:rsidRPr="00EB3DCB">
        <w:rPr>
          <w:color w:val="000000" w:themeColor="text1"/>
          <w:lang w:val="id-ID"/>
        </w:rPr>
        <w:fldChar w:fldCharType="end"/>
      </w:r>
      <w:r w:rsidRPr="00EB3DCB">
        <w:rPr>
          <w:color w:val="000000" w:themeColor="text1"/>
          <w:lang w:val="id-ID"/>
        </w:rPr>
        <w:t xml:space="preserve"> menunjukkan bahwa semakin besar proporsi pengeluaran pangan terhadap total pendapatan, semakin rendah tingkat ketahanan pangan rumah tangga, karena beban biaya konsumsi yang tinggi mengurangi kemampuan keluarga memenuhi kebutuhan pangan secara berkelanjutan. Penelitian ini juga menegaskan bahwa kondisi tersebut berdampak pada rendahnya keragaman pangan, sehingga rumah tangga dengan pengeluaran pangan tinggi cenderung lebih rentan terhadap masalah kualitas dan kuantitas pangan.</w:t>
      </w:r>
    </w:p>
    <w:p w14:paraId="138874F9" w14:textId="26F45764" w:rsidR="00EB3DCB" w:rsidRPr="00EB3DCB" w:rsidRDefault="00EB3DCB" w:rsidP="00C6661A">
      <w:pPr>
        <w:spacing w:after="0" w:line="240" w:lineRule="auto"/>
        <w:jc w:val="both"/>
        <w:rPr>
          <w:color w:val="000000" w:themeColor="text1"/>
          <w:lang w:val="id-ID"/>
        </w:rPr>
      </w:pPr>
      <w:r w:rsidRPr="00EB3DCB">
        <w:rPr>
          <w:color w:val="000000" w:themeColor="text1"/>
          <w:lang w:val="id-ID"/>
        </w:rPr>
        <w:t xml:space="preserve">1,491X₃ menunjukkan bahwa setiap peningkatan satu persen pada harga pangan (X₃) akan meningkatkan ketahanan pangan sebesar 1,491 kg. Koefisien positif mengindikasikan bahwa stabilitas harga pangan atau keterjangkauannya dapat meningkatkan kemampuan rumah tangga memperoleh pangan. Studi </w:t>
      </w:r>
      <w:r w:rsidRPr="00EB3DCB">
        <w:rPr>
          <w:color w:val="000000" w:themeColor="text1"/>
          <w:lang w:val="id-ID"/>
        </w:rPr>
        <w:fldChar w:fldCharType="begin" w:fldLock="1"/>
      </w:r>
      <w:r w:rsidR="009631D0">
        <w:rPr>
          <w:color w:val="000000" w:themeColor="text1"/>
          <w:lang w:val="id-ID"/>
        </w:rPr>
        <w:instrText>ADDIN CSL_CITATION {"citationItems":[{"id":"ITEM-1","itemData":{"DOI":"https://doi.org/10.1016/j.foodpol.2021.102061","ISSN":"0306-9192","abstract":"Food prices vary seasonally, particularly in areas with rainfed agricultural production and imperfect markets, and are also subject to volatility arising from macroeconomic and climatic shocks, such as global supply shocks and abrupt policy changes. The specific nature of these relationships remains a pressing empirical question, particularly in contexts where food insecurity is prevalent, prices are subject to diverse sources of variation, and governments are seeking policy options to reduce price volatility. We use panel data from Nigeria to investigate the effects of non-seasonal food price volatility, in particular unexpected increases in prices, on household food security. Accounting for substitution effects and focusing on both domestic and imported rice—key components of the Nigerian diet—we find that imported rice price increases are damaging to both dietary diversity (downward impact) and the food share of consumption expenditure (upward impact), while impacts of domestic rice price volatility are ambiguous. We find differential effects by wealth status that vary across indicators of food security: an increase in the price of imported rice increases food share more among poor households than rich households, and decreases dietary diversity more among rich households than poor households. Our findings point toward the importance of improving food security by mitigating the effects of global shocks on imported food prices, and also highlight the data challenges and complexity involved in developing precise answers to these important policy questions.","author":[{"dropping-particle":"","family":"Amolegbe","given":"Khadijat B","non-dropping-particle":"","parse-names":false,"suffix":""},{"dropping-particle":"","family":"Upton","given":"Joanna","non-dropping-particle":"","parse-names":false,"suffix":""},{"dropping-particle":"","family":"Bageant","given":"Elizabeth","non-dropping-particle":"","parse-names":false,"suffix":""},{"dropping-particle":"","family":"Blom","given":"Sylvia","non-dropping-particle":"","parse-names":false,"suffix":""}],"container-title":"Food Policy","id":"ITEM-1","issued":{"date-parts":[["2021"]]},"page":"102061","title":"Food price volatility and household food security: Evidence from Nigeria","type":"article-journal","volume":"102"},"uris":["http://www.mendeley.com/documents/?uuid=74137597-4268-4b5a-bf86-28ba477138ff"]}],"mendeley":{"formattedCitation":"(Amolegbe et al., 2021)","plainTextFormattedCitation":"(Amolegbe et al., 2021)","previouslyFormattedCitation":"(Amolegbe et al., 2021)"},"properties":{"noteIndex":0},"schema":"https://github.com/citation-style-language/schema/raw/master/csl-citation.json"}</w:instrText>
      </w:r>
      <w:r w:rsidRPr="00EB3DCB">
        <w:rPr>
          <w:color w:val="000000" w:themeColor="text1"/>
          <w:lang w:val="id-ID"/>
        </w:rPr>
        <w:fldChar w:fldCharType="separate"/>
      </w:r>
      <w:r w:rsidRPr="00756791">
        <w:rPr>
          <w:noProof/>
          <w:color w:val="000000" w:themeColor="text1"/>
          <w:lang w:val="id-ID"/>
        </w:rPr>
        <w:t>(Amolegbe et al., 2021)</w:t>
      </w:r>
      <w:r w:rsidRPr="00EB3DCB">
        <w:rPr>
          <w:color w:val="000000" w:themeColor="text1"/>
          <w:lang w:val="id-ID"/>
        </w:rPr>
        <w:fldChar w:fldCharType="end"/>
      </w:r>
      <w:r w:rsidRPr="00EB3DCB">
        <w:rPr>
          <w:color w:val="000000" w:themeColor="text1"/>
          <w:lang w:val="id-ID"/>
        </w:rPr>
        <w:t xml:space="preserve"> menunjukkan bahwa volatilitas harga pangan memiliki dampak signifikan dalam menurunkan ketahanan pangan rumah tangga, karena fluktuasi harga yang tidak stabil mengurangi kemampuan keluarga mengakses pangan yang cukup dan terjangkau. Penelitian ini menegaskan bahwa rumah tangga berpendapatan rendah merupakan kelompok yang paling terdampak, sehingga kestabilan harga menjadi faktor kunci dalam menjaga keamanan pangan mereka.</w:t>
      </w:r>
    </w:p>
    <w:p w14:paraId="74FC1ECA" w14:textId="2B3BFD75" w:rsidR="00EB3DCB" w:rsidRPr="00EB3DCB" w:rsidRDefault="00465CEA" w:rsidP="00C6661A">
      <w:pPr>
        <w:spacing w:after="0" w:line="240" w:lineRule="auto"/>
        <w:jc w:val="both"/>
        <w:rPr>
          <w:color w:val="000000" w:themeColor="text1"/>
          <w:lang w:val="id-ID"/>
        </w:rPr>
      </w:pPr>
      <w:r w:rsidRPr="00465CEA">
        <w:rPr>
          <w:color w:val="000000" w:themeColor="text1"/>
          <w:lang w:val="id-ID"/>
        </w:rPr>
        <w:t xml:space="preserve">0,091X₄ menunjukkan bahwa setiap peningkatan satu satuan akses pasar cenderung meningkatkan ketahanan pangan sebesar 0,091 kg, dengan asumsi variabel lain konstan. </w:t>
      </w:r>
      <w:r>
        <w:rPr>
          <w:color w:val="000000" w:themeColor="text1"/>
          <w:lang w:val="id-ID"/>
        </w:rPr>
        <w:t>K</w:t>
      </w:r>
      <w:r w:rsidRPr="00465CEA">
        <w:rPr>
          <w:color w:val="000000" w:themeColor="text1"/>
          <w:lang w:val="id-ID"/>
        </w:rPr>
        <w:t>arena hasil uji statistik menunjukkan bahwa koefisien ini tidak signifikan, maka secara empiris peningkatan akses pasar belum terbukti memberikan pengaruh nyata terhadap ketahanan pangan rumah tangga dalam penelitian ini.</w:t>
      </w:r>
      <w:r w:rsidR="00EB3DCB" w:rsidRPr="00EB3DCB">
        <w:rPr>
          <w:color w:val="000000" w:themeColor="text1"/>
          <w:lang w:val="id-ID"/>
        </w:rPr>
        <w:t xml:space="preserve"> Studi </w:t>
      </w:r>
      <w:r w:rsidR="00EB3DCB" w:rsidRPr="00EB3DCB">
        <w:rPr>
          <w:color w:val="000000" w:themeColor="text1"/>
          <w:lang w:val="id-ID"/>
        </w:rPr>
        <w:fldChar w:fldCharType="begin" w:fldLock="1"/>
      </w:r>
      <w:r w:rsidR="009631D0">
        <w:rPr>
          <w:color w:val="000000" w:themeColor="text1"/>
          <w:lang w:val="id-ID"/>
        </w:rPr>
        <w:instrText>ADDIN CSL_CITATION {"citationItems":[{"id":"ITEM-1","itemData":{"DOI":"10.20473/amnt.v6i1.2022.72-81","author":[{"dropping-particle":"","family":"Lestari","given":"Yunita Vera","non-dropping-particle":"","parse-names":false,"suffix":""},{"dropping-particle":"","family":"Pratiwi","given":"Theresia","non-dropping-particle":"","parse-names":false,"suffix":""},{"dropping-particle":"","family":"Sanubari","given":"Elingsetyo","non-dropping-particle":"","parse-names":false,"suffix":""},{"dropping-particle":"","family":"Wijaya","given":"Firdhan Aria","non-dropping-particle":"","parse-names":false,"suffix":""},{"dropping-particle":"","family":"Kesehatan","given":"Ilmu","non-dropping-particle":"","parse-names":false,"suffix":""},{"dropping-particle":"","family":"Kristen","given":"Universitas","non-dropping-particle":"","parse-names":false,"suffix":""},{"dropping-particle":"","family":"Wacana","given":"Satya","non-dropping-particle":"","parse-names":false,"suffix":""},{"dropping-particle":"","family":"Salatiga","given":"Kota","non-dropping-particle":"","parse-names":false,"suffix":""},{"dropping-particle":"","family":"Tengah","given":"Jawa","non-dropping-particle":"","parse-names":false,"suffix":""}],"id":"ITEM-1","issue":"1","issued":{"date-parts":[["2022"]]},"title":"Akses Pangan Rumah Tangga Petani pada Kelompok Tani Qaryah Thayyibah di Kota Salatiga Farmer Household Food Access to Qaryah Thayyibah Tani Group in Salatiga City","type":"article-journal","volume":"6"},"uris":["http://www.mendeley.com/documents/?uuid=6f28e9ad-76b6-4ec6-8ad8-f732ba23a317"]}],"mendeley":{"formattedCitation":"(Lestari et al., 2022)","plainTextFormattedCitation":"(Lestari et al., 2022)","previouslyFormattedCitation":"(Lestari et al., 2022)"},"properties":{"noteIndex":0},"schema":"https://github.com/citation-style-language/schema/raw/master/csl-citation.json"}</w:instrText>
      </w:r>
      <w:r w:rsidR="00EB3DCB" w:rsidRPr="00EB3DCB">
        <w:rPr>
          <w:color w:val="000000" w:themeColor="text1"/>
          <w:lang w:val="id-ID"/>
        </w:rPr>
        <w:fldChar w:fldCharType="separate"/>
      </w:r>
      <w:r w:rsidR="00EB3DCB" w:rsidRPr="00756791">
        <w:rPr>
          <w:noProof/>
          <w:color w:val="000000" w:themeColor="text1"/>
          <w:lang w:val="id-ID"/>
        </w:rPr>
        <w:t>(Lestari et al., 2022)</w:t>
      </w:r>
      <w:r w:rsidR="00EB3DCB" w:rsidRPr="00EB3DCB">
        <w:rPr>
          <w:color w:val="000000" w:themeColor="text1"/>
          <w:lang w:val="id-ID"/>
        </w:rPr>
        <w:fldChar w:fldCharType="end"/>
      </w:r>
      <w:r w:rsidR="00EB3DCB" w:rsidRPr="00EB3DCB">
        <w:rPr>
          <w:color w:val="000000" w:themeColor="text1"/>
          <w:lang w:val="id-ID"/>
        </w:rPr>
        <w:t xml:space="preserve"> menunjukkan bahwa semakin dekat jarak rumah tangga petani ke pasar serta </w:t>
      </w:r>
      <w:r w:rsidR="00EB3DCB" w:rsidRPr="00EB3DCB">
        <w:rPr>
          <w:color w:val="000000" w:themeColor="text1"/>
          <w:lang w:val="id-ID"/>
        </w:rPr>
        <w:lastRenderedPageBreak/>
        <w:t>semakin baik kualitas infrastruktur yang tersedia, maka semakin mudah mereka memenuhi kebutuhan pangan secara berkelanjutan.Keikutsertaan dalam kelompok tani memperkuat akses informasi dan dukungan sosial-ekonomi, sehingga meningkatkan kemampuan rumah tangga dalam menjaga ketersediaan dan aksesibilitas pangan.</w:t>
      </w:r>
      <w:r w:rsidR="005E002E" w:rsidRPr="005E002E">
        <w:t xml:space="preserve"> </w:t>
      </w:r>
      <w:r w:rsidR="005E002E" w:rsidRPr="005E002E">
        <w:rPr>
          <w:color w:val="000000" w:themeColor="text1"/>
          <w:lang w:val="id-ID"/>
        </w:rPr>
        <w:t>Peningkatan akses pasar selama periode penelitian cenderung stabil dan meningkat secara bertahap, sehingga variasinya tidak cukup besar untuk menjelaskan perbedaan ketahanan pangan secara signifikan.</w:t>
      </w:r>
    </w:p>
    <w:p w14:paraId="182C602F" w14:textId="1E987A10" w:rsidR="00CA308C" w:rsidRPr="00142E79" w:rsidRDefault="005E002E" w:rsidP="00142E79">
      <w:pPr>
        <w:spacing w:after="0" w:line="240" w:lineRule="auto"/>
        <w:jc w:val="both"/>
        <w:rPr>
          <w:color w:val="000000" w:themeColor="text1"/>
          <w:lang w:val="id-ID"/>
        </w:rPr>
      </w:pPr>
      <w:r w:rsidRPr="005E002E">
        <w:rPr>
          <w:color w:val="000000" w:themeColor="text1"/>
          <w:lang w:val="id-ID"/>
        </w:rPr>
        <w:t xml:space="preserve">–0,242X₅ menunjukkan bahwa setiap peningkatan seribu rupiah per jiwa pada diversifikasi pendapatan cenderung menurunkan ketahanan pangan sebesar 0,242 kg, dengan asumsi variabel lain konstan. </w:t>
      </w:r>
      <w:r>
        <w:rPr>
          <w:color w:val="000000" w:themeColor="text1"/>
          <w:lang w:val="id-ID"/>
        </w:rPr>
        <w:t>K</w:t>
      </w:r>
      <w:r w:rsidRPr="005E002E">
        <w:rPr>
          <w:color w:val="000000" w:themeColor="text1"/>
          <w:lang w:val="id-ID"/>
        </w:rPr>
        <w:t>arena hasil uji statistik menunjukkan bahwa koefisien ini tidak signifikan, maka secara empiris diversifikasi pendapatan belum terbukti memberikan pengaruh nyata terhadap ketahanan pangan rumah tangga dalam penelitian ini</w:t>
      </w:r>
      <w:r>
        <w:rPr>
          <w:color w:val="000000" w:themeColor="text1"/>
          <w:lang w:val="id-ID"/>
        </w:rPr>
        <w:t xml:space="preserve">. </w:t>
      </w:r>
      <w:r w:rsidR="00EB3DCB" w:rsidRPr="00EB3DCB">
        <w:rPr>
          <w:color w:val="000000" w:themeColor="text1"/>
          <w:lang w:val="id-ID"/>
        </w:rPr>
        <w:t xml:space="preserve">Hal ini dapat terjadi apabila diversifikasi pendapatan dilakukan sebagai strategi bertahan ketika kondisi ekonomi lemah, sehingga belum mampu memberikan efek perbaikan pada ketahanan pangan. Diversifikasi pendapatan yang tidak berpengaruh signifikan terhadap ketahanan pangan pada studi </w:t>
      </w:r>
      <w:r w:rsidR="00EB3DCB" w:rsidRPr="00EB3DCB">
        <w:rPr>
          <w:color w:val="000000" w:themeColor="text1"/>
          <w:lang w:val="id-ID"/>
        </w:rPr>
        <w:fldChar w:fldCharType="begin" w:fldLock="1"/>
      </w:r>
      <w:r w:rsidR="00756791">
        <w:rPr>
          <w:color w:val="000000" w:themeColor="text1"/>
          <w:lang w:val="id-ID"/>
        </w:rPr>
        <w:instrText>ADDIN CSL_CITATION {"citationItems":[{"id":"ITEM-1","itemData":{"author":[{"dropping-particle":"","family":"Rochmania","given":"","non-dropping-particle":"","parse-names":false,"suffix":""}],"container-title":"AGRISTA","id":"ITEM-1","issue":"2","issued":{"date-parts":[["2023"]]},"page":"81-92","title":"Hubungan Diversifikasi Pendapatan Dengan Ketahanan Pangan Rumah Tangga Petani Di Kecamatan Nalumsari Kabupaten Jepara","type":"article-journal","volume":"11"},"uris":["http://www.mendeley.com/documents/?uuid=6f063a2e-1f36-4eaa-89d7-988f1df352de"]}],"mendeley":{"formattedCitation":"(Rochmania, 2023)","plainTextFormattedCitation":"(Rochmania, 2023)","previouslyFormattedCitation":"(Rochmania, 2023)"},"properties":{"noteIndex":0},"schema":"https://github.com/citation-style-language/schema/raw/master/csl-citation.json"}</w:instrText>
      </w:r>
      <w:r w:rsidR="00EB3DCB" w:rsidRPr="00EB3DCB">
        <w:rPr>
          <w:color w:val="000000" w:themeColor="text1"/>
          <w:lang w:val="id-ID"/>
        </w:rPr>
        <w:fldChar w:fldCharType="separate"/>
      </w:r>
      <w:r w:rsidR="00EB3DCB" w:rsidRPr="00EB3DCB">
        <w:rPr>
          <w:noProof/>
          <w:color w:val="000000" w:themeColor="text1"/>
          <w:lang w:val="id-ID"/>
        </w:rPr>
        <w:t>(Rochmania, 2023)</w:t>
      </w:r>
      <w:r w:rsidR="00EB3DCB" w:rsidRPr="00EB3DCB">
        <w:rPr>
          <w:color w:val="000000" w:themeColor="text1"/>
          <w:lang w:val="id-ID"/>
        </w:rPr>
        <w:fldChar w:fldCharType="end"/>
      </w:r>
      <w:r w:rsidR="00EB3DCB" w:rsidRPr="00EB3DCB">
        <w:rPr>
          <w:color w:val="000000" w:themeColor="text1"/>
          <w:lang w:val="id-ID"/>
        </w:rPr>
        <w:t xml:space="preserve"> menunjukkan bahwa penambahan sumber pendapatan belum tentu meningkatkan kapasitas rumah tangga dalam memenuhi kebutuhan pangan secara stabil. Kondisi ini dapat terjadi ketika sumber pendapatan tambahan bersifat fluktuatif, berupah rendah, atau hanya berfungsi sebagai strategi bertahan, sehingga tidak memberikan peningkatan nyata pada daya beli maupun ketersediaan pangan rumah </w:t>
      </w:r>
      <w:r>
        <w:rPr>
          <w:color w:val="000000" w:themeColor="text1"/>
          <w:lang w:val="id-ID"/>
        </w:rPr>
        <w:t>tangga</w:t>
      </w:r>
      <w:r w:rsidR="00EB3DCB" w:rsidRPr="00EB3DCB">
        <w:rPr>
          <w:color w:val="000000" w:themeColor="text1"/>
          <w:lang w:val="id-ID"/>
        </w:rPr>
        <w:t>.</w:t>
      </w:r>
      <w:r w:rsidRPr="005E002E">
        <w:t xml:space="preserve"> </w:t>
      </w:r>
      <w:r w:rsidRPr="005E002E">
        <w:rPr>
          <w:color w:val="000000" w:themeColor="text1"/>
          <w:lang w:val="id-ID"/>
        </w:rPr>
        <w:t xml:space="preserve">Diversifikasi pekerjaan belum tentu menghasilkan tambahan pendapatan yang besar atau stabil. </w:t>
      </w:r>
      <w:r>
        <w:rPr>
          <w:color w:val="000000" w:themeColor="text1"/>
          <w:lang w:val="id-ID"/>
        </w:rPr>
        <w:t>A</w:t>
      </w:r>
      <w:r w:rsidRPr="005E002E">
        <w:rPr>
          <w:color w:val="000000" w:themeColor="text1"/>
          <w:lang w:val="id-ID"/>
        </w:rPr>
        <w:t>ktivitas tambahan bersifat informal dan berpendapatan rendah.</w:t>
      </w:r>
    </w:p>
    <w:p w14:paraId="6DAFF30F" w14:textId="77777777" w:rsidR="0027013F" w:rsidRDefault="00D83A94">
      <w:pPr>
        <w:spacing w:before="200" w:after="0"/>
        <w:jc w:val="both"/>
      </w:pPr>
      <w:r>
        <w:rPr>
          <w:b/>
        </w:rPr>
        <w:t>KESIMPULAN</w:t>
      </w:r>
    </w:p>
    <w:p w14:paraId="0BBB865B" w14:textId="07759435" w:rsidR="007E73C7" w:rsidRPr="007E73C7" w:rsidRDefault="007E73C7" w:rsidP="007E73C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E73C7">
        <w:rPr>
          <w:color w:val="202124"/>
        </w:rPr>
        <w:t>Berdasarkan hasil analisis ketahanan pangan rumah tangga di kawasan gambut Kota Palangka Raya masih tergolong rentan. Kerentanan ini terutama dialami oleh rumah tangga berpendapatan rendah dan mereka yang memiliki proporsi pengeluaran pangan tinggi. Rendahnya produktivitas lahan gambut, ketergantungan pada pasokan pangan dari luar daerah, serta fluktuasi harga pangan memperburuk kemampuan rumah tangga memenuhi kebutuhan pangan yang layak. Analisis statistik menunjukkan bahwa faktor-faktor ekonomi berpengaruh signifikan secara simultan terhadap ketahanan pangan (uji F, sig. 0,028), dengan pendapatan rumah tangga (X₁) berpengaruh positif signifikan, pengeluaran pangan (X₂) berpengaruh negatif signifikan, dan harga pangan (X₃) berpengaruh positif secara marginal. Hal ini menegaskan bahwa kondisi ekonomi menjadi penentu utama stabilitas akses pangan rumah tangga. variabel akses pasar (X₄) dan diversifikasi pendapatan (X₅) tidak menunjukkan pengaruh signifikan secara parsial, yang mengindikasikan bahwa peningkatan jumlah pasar atau penambahan jenis pekerjaan belum otomatis memperbaiki ketahanan pangan apabila pendapatan tidak stabil atau nilai ekonomi tambahan tidak memadai. Nilai R² sebesar 0,706 menunjukkan bahwa 70,6% variasi ketahanan pangan rumah tangga dapat dijelaskan oleh lima variabel ekonomi dalam model. Nilai Adjusted R² sebesar 0,673 menegaskan bahwa model tetap kuat setelah penyesuaian variabel dan sampel. Sementara itu, R sebesar 0,867 mengindikasikan hubungan yang sangat kuat antara variabel independen dan ketahanan pangan rumah tangga di kawasan gambut.</w:t>
      </w:r>
    </w:p>
    <w:p w14:paraId="120C7918" w14:textId="000DDD05" w:rsidR="0027013F" w:rsidRDefault="007E73C7" w:rsidP="007E73C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sidRPr="007E73C7">
        <w:rPr>
          <w:color w:val="202124"/>
        </w:rPr>
        <w:t>Kondisi ekologis gambut seperti kerentanan kebakaran, gangguan distribusi, dan rendahnya kualitas tanah turut memperburuk situasi ketahanan pangan masyarakat. Secara keseluruhan, ketahanan pangan rumah tangga di kawasan gambut Kota Palangka Raya ditentukan terutama oleh kekuatan ekonomi rumah tanggadengan pendapatan sebagai variabel paling berpengaruh sementara tantangan lingkungan menjadi faktor struktural yang memerlukan penanganan kebijakan jangka panjang dan komprehensif</w:t>
      </w:r>
      <w:r>
        <w:rPr>
          <w:color w:val="000000"/>
        </w:rPr>
        <w:t>.</w:t>
      </w:r>
    </w:p>
    <w:p w14:paraId="038E3DE7" w14:textId="77777777" w:rsidR="0027013F" w:rsidRDefault="00D83A94">
      <w:pPr>
        <w:spacing w:before="200" w:after="0" w:line="240" w:lineRule="auto"/>
        <w:jc w:val="both"/>
        <w:rPr>
          <w:b/>
        </w:rPr>
      </w:pPr>
      <w:r>
        <w:rPr>
          <w:b/>
        </w:rPr>
        <w:t>UCAPAN TERIMA KASIH</w:t>
      </w:r>
    </w:p>
    <w:p w14:paraId="5B9A241C" w14:textId="4E891FB9" w:rsidR="00182C6E" w:rsidRDefault="00D83A94" w:rsidP="00142E7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r>
        <w:rPr>
          <w:color w:val="202124"/>
        </w:rPr>
        <w:t>Bagian ini berisi pernyataan sumber pendanaan untuk pekerjaan penelitian. Bagian ini juga berisi ucapan terima kasih kepada p</w:t>
      </w:r>
      <w:r w:rsidR="00152800">
        <w:rPr>
          <w:color w:val="202124"/>
        </w:rPr>
        <w:t>ihak pimpinan Fakultas Ekonomi dan Bisnis Universitas Palangka Raya dan pihak terkait lainnya</w:t>
      </w:r>
      <w:r>
        <w:rPr>
          <w:color w:val="202124"/>
        </w:rPr>
        <w:t xml:space="preserve"> yang telah berkontribusi dalam penelitian dan penyusunan naskah </w:t>
      </w:r>
      <w:r w:rsidR="00152800">
        <w:rPr>
          <w:color w:val="202124"/>
        </w:rPr>
        <w:t>ini.</w:t>
      </w:r>
    </w:p>
    <w:p w14:paraId="049AA280" w14:textId="77777777" w:rsidR="00142E79" w:rsidRPr="00142E79" w:rsidRDefault="00142E79" w:rsidP="00142E7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202124"/>
        </w:rPr>
      </w:pPr>
    </w:p>
    <w:p w14:paraId="6F75CE63" w14:textId="780E6734" w:rsidR="009631D0" w:rsidRDefault="00D83A94" w:rsidP="009631D0">
      <w:pPr>
        <w:spacing w:before="200" w:after="0" w:line="240" w:lineRule="auto"/>
        <w:jc w:val="both"/>
      </w:pPr>
      <w:r>
        <w:rPr>
          <w:b/>
        </w:rPr>
        <w:t>DAFTAR PUSTAKA</w:t>
      </w:r>
    </w:p>
    <w:p w14:paraId="30845489" w14:textId="77777777" w:rsidR="009631D0" w:rsidRPr="009631D0" w:rsidRDefault="009631D0" w:rsidP="009631D0">
      <w:pPr>
        <w:spacing w:before="200" w:after="0" w:line="240" w:lineRule="auto"/>
        <w:jc w:val="both"/>
      </w:pPr>
    </w:p>
    <w:p w14:paraId="508087EF" w14:textId="77777777" w:rsidR="00182C6E" w:rsidRDefault="009631D0" w:rsidP="00182C6E">
      <w:pPr>
        <w:widowControl w:val="0"/>
        <w:autoSpaceDE w:val="0"/>
        <w:autoSpaceDN w:val="0"/>
        <w:adjustRightInd w:val="0"/>
        <w:spacing w:after="0" w:line="240" w:lineRule="auto"/>
        <w:ind w:left="480" w:hanging="480"/>
        <w:jc w:val="both"/>
        <w:rPr>
          <w:noProof/>
        </w:rPr>
      </w:pPr>
      <w:r w:rsidRPr="009631D0">
        <w:rPr>
          <w:b/>
          <w:bCs/>
          <w:color w:val="000000" w:themeColor="text1"/>
          <w:lang w:val="id-ID"/>
        </w:rPr>
        <w:fldChar w:fldCharType="begin" w:fldLock="1"/>
      </w:r>
      <w:r w:rsidRPr="009631D0">
        <w:rPr>
          <w:b/>
          <w:bCs/>
          <w:color w:val="000000" w:themeColor="text1"/>
          <w:lang w:val="id-ID"/>
        </w:rPr>
        <w:instrText xml:space="preserve">ADDIN Mendeley Bibliography CSL_BIBLIOGRAPHY </w:instrText>
      </w:r>
      <w:r w:rsidRPr="009631D0">
        <w:rPr>
          <w:b/>
          <w:bCs/>
          <w:color w:val="000000" w:themeColor="text1"/>
          <w:lang w:val="id-ID"/>
        </w:rPr>
        <w:fldChar w:fldCharType="separate"/>
      </w:r>
      <w:r w:rsidR="009A4550" w:rsidRPr="009A4550">
        <w:rPr>
          <w:noProof/>
        </w:rPr>
        <w:t xml:space="preserve">Akbar, A., Darma, R., Fahmid, I. M., &amp; Irawan, A. (2023). </w:t>
      </w:r>
      <w:r w:rsidR="009A4550" w:rsidRPr="00041E0F">
        <w:rPr>
          <w:i/>
          <w:iCs/>
          <w:noProof/>
        </w:rPr>
        <w:t>Determinants of Household Food Security during the COVID-19 Pandemic in Indonesia</w:t>
      </w:r>
      <w:r w:rsidR="009A4550" w:rsidRPr="009A4550">
        <w:rPr>
          <w:noProof/>
        </w:rPr>
        <w:t xml:space="preserve">. </w:t>
      </w:r>
      <w:r w:rsidR="009A4550" w:rsidRPr="009A4550">
        <w:rPr>
          <w:i/>
          <w:iCs/>
          <w:noProof/>
        </w:rPr>
        <w:t>Sustainability</w:t>
      </w:r>
      <w:r w:rsidR="009A4550" w:rsidRPr="009A4550">
        <w:rPr>
          <w:noProof/>
        </w:rPr>
        <w:t xml:space="preserve">, </w:t>
      </w:r>
      <w:r w:rsidR="009A4550" w:rsidRPr="009A4550">
        <w:rPr>
          <w:i/>
          <w:iCs/>
          <w:noProof/>
        </w:rPr>
        <w:t>15</w:t>
      </w:r>
      <w:r w:rsidR="009A4550" w:rsidRPr="009A4550">
        <w:rPr>
          <w:noProof/>
        </w:rPr>
        <w:t xml:space="preserve">(5). </w:t>
      </w:r>
    </w:p>
    <w:p w14:paraId="0DC057D5" w14:textId="43D938A4" w:rsidR="00182C6E" w:rsidRPr="00182C6E" w:rsidRDefault="009A4550" w:rsidP="00182C6E">
      <w:pPr>
        <w:widowControl w:val="0"/>
        <w:autoSpaceDE w:val="0"/>
        <w:autoSpaceDN w:val="0"/>
        <w:adjustRightInd w:val="0"/>
        <w:spacing w:after="0" w:line="240" w:lineRule="auto"/>
        <w:ind w:left="480" w:hanging="54"/>
        <w:jc w:val="both"/>
        <w:rPr>
          <w:noProof/>
          <w:color w:val="000099"/>
          <w:u w:val="single"/>
        </w:rPr>
      </w:pPr>
      <w:r w:rsidRPr="00182C6E">
        <w:rPr>
          <w:noProof/>
          <w:color w:val="000099"/>
          <w:u w:val="single"/>
        </w:rPr>
        <w:t>https://doi.org/10.3390/su15054131</w:t>
      </w:r>
    </w:p>
    <w:p w14:paraId="040C7584" w14:textId="77777777" w:rsidR="00182C6E" w:rsidRDefault="009A4550" w:rsidP="00182C6E">
      <w:pPr>
        <w:widowControl w:val="0"/>
        <w:autoSpaceDE w:val="0"/>
        <w:autoSpaceDN w:val="0"/>
        <w:adjustRightInd w:val="0"/>
        <w:spacing w:after="0" w:line="240" w:lineRule="auto"/>
        <w:ind w:left="480" w:hanging="480"/>
        <w:jc w:val="both"/>
        <w:rPr>
          <w:noProof/>
        </w:rPr>
      </w:pPr>
      <w:r w:rsidRPr="009A4550">
        <w:rPr>
          <w:noProof/>
        </w:rPr>
        <w:t xml:space="preserve">Amolegbe, K. B., Upton, J., Bageant, E., &amp; Blom, S. (2021). </w:t>
      </w:r>
      <w:r w:rsidRPr="00041E0F">
        <w:rPr>
          <w:i/>
          <w:iCs/>
          <w:noProof/>
        </w:rPr>
        <w:t xml:space="preserve">Food price volatility and household food </w:t>
      </w:r>
      <w:r w:rsidRPr="00041E0F">
        <w:rPr>
          <w:i/>
          <w:iCs/>
          <w:noProof/>
        </w:rPr>
        <w:lastRenderedPageBreak/>
        <w:t>security: Evidence from Nigeria. Food Policy, 102, 102061.</w:t>
      </w:r>
    </w:p>
    <w:p w14:paraId="7147115C" w14:textId="0AA84A5C" w:rsidR="00182C6E" w:rsidRPr="00182C6E" w:rsidRDefault="009A4550" w:rsidP="00182C6E">
      <w:pPr>
        <w:widowControl w:val="0"/>
        <w:autoSpaceDE w:val="0"/>
        <w:autoSpaceDN w:val="0"/>
        <w:adjustRightInd w:val="0"/>
        <w:spacing w:after="0" w:line="240" w:lineRule="auto"/>
        <w:ind w:left="480" w:hanging="54"/>
        <w:jc w:val="both"/>
        <w:rPr>
          <w:noProof/>
          <w:color w:val="000099"/>
          <w:u w:val="single"/>
        </w:rPr>
      </w:pPr>
      <w:r w:rsidRPr="00182C6E">
        <w:rPr>
          <w:noProof/>
          <w:color w:val="000099"/>
          <w:u w:val="single"/>
        </w:rPr>
        <w:t>https://doi.org/https://doi.org/10.1016/j.foodpol.2021.102061</w:t>
      </w:r>
    </w:p>
    <w:p w14:paraId="33D53C6B" w14:textId="77777777" w:rsidR="00182C6E" w:rsidRPr="00041E0F" w:rsidRDefault="009A4550" w:rsidP="00182C6E">
      <w:pPr>
        <w:widowControl w:val="0"/>
        <w:autoSpaceDE w:val="0"/>
        <w:autoSpaceDN w:val="0"/>
        <w:adjustRightInd w:val="0"/>
        <w:spacing w:after="0" w:line="240" w:lineRule="auto"/>
        <w:ind w:left="480" w:hanging="480"/>
        <w:jc w:val="both"/>
        <w:rPr>
          <w:i/>
          <w:iCs/>
          <w:noProof/>
        </w:rPr>
      </w:pPr>
      <w:r w:rsidRPr="009A4550">
        <w:rPr>
          <w:noProof/>
        </w:rPr>
        <w:t xml:space="preserve">Applegate, G., Freeman, B., Tular, B., Sitadevi, L., &amp; Jessup, T. C. (2022). </w:t>
      </w:r>
      <w:r w:rsidRPr="00041E0F">
        <w:rPr>
          <w:i/>
          <w:iCs/>
          <w:noProof/>
        </w:rPr>
        <w:t xml:space="preserve">Application of agroforestry business models to tropical peatland restoration. Ambio, 51(4), 863–874. </w:t>
      </w:r>
    </w:p>
    <w:p w14:paraId="1642A015" w14:textId="75395741" w:rsidR="009A4550" w:rsidRPr="00182C6E" w:rsidRDefault="009A4550" w:rsidP="00182C6E">
      <w:pPr>
        <w:widowControl w:val="0"/>
        <w:autoSpaceDE w:val="0"/>
        <w:autoSpaceDN w:val="0"/>
        <w:adjustRightInd w:val="0"/>
        <w:spacing w:after="0" w:line="240" w:lineRule="auto"/>
        <w:ind w:left="480" w:hanging="54"/>
        <w:jc w:val="both"/>
        <w:rPr>
          <w:noProof/>
          <w:color w:val="000099"/>
          <w:u w:val="single"/>
        </w:rPr>
      </w:pPr>
      <w:r w:rsidRPr="00182C6E">
        <w:rPr>
          <w:noProof/>
          <w:color w:val="000099"/>
          <w:u w:val="single"/>
        </w:rPr>
        <w:t>https://doi.org/10.1007/s13280-021-01595-x</w:t>
      </w:r>
    </w:p>
    <w:p w14:paraId="150413DB" w14:textId="77777777" w:rsidR="009A4550" w:rsidRPr="009A4550" w:rsidRDefault="009A4550" w:rsidP="00182C6E">
      <w:pPr>
        <w:widowControl w:val="0"/>
        <w:autoSpaceDE w:val="0"/>
        <w:autoSpaceDN w:val="0"/>
        <w:adjustRightInd w:val="0"/>
        <w:spacing w:after="0" w:line="240" w:lineRule="auto"/>
        <w:ind w:left="480" w:hanging="480"/>
        <w:jc w:val="both"/>
        <w:rPr>
          <w:noProof/>
        </w:rPr>
      </w:pPr>
      <w:r w:rsidRPr="009A4550">
        <w:rPr>
          <w:noProof/>
        </w:rPr>
        <w:t>Badan Pangan Nasional. (2024).</w:t>
      </w:r>
      <w:r w:rsidRPr="00041E0F">
        <w:rPr>
          <w:noProof/>
        </w:rPr>
        <w:t xml:space="preserve"> Rencana Aksi Badan Pangan Nasional.</w:t>
      </w:r>
    </w:p>
    <w:p w14:paraId="0E37A19F" w14:textId="77777777" w:rsidR="00182C6E" w:rsidRPr="00182C6E" w:rsidRDefault="009A4550" w:rsidP="00182C6E">
      <w:pPr>
        <w:widowControl w:val="0"/>
        <w:autoSpaceDE w:val="0"/>
        <w:autoSpaceDN w:val="0"/>
        <w:adjustRightInd w:val="0"/>
        <w:spacing w:after="0" w:line="240" w:lineRule="auto"/>
        <w:ind w:left="480" w:hanging="480"/>
        <w:jc w:val="both"/>
        <w:rPr>
          <w:noProof/>
        </w:rPr>
      </w:pPr>
      <w:r w:rsidRPr="009A4550">
        <w:rPr>
          <w:noProof/>
        </w:rPr>
        <w:t xml:space="preserve">BMKG. (2023). </w:t>
      </w:r>
      <w:r w:rsidRPr="00182C6E">
        <w:rPr>
          <w:noProof/>
        </w:rPr>
        <w:t xml:space="preserve">Rapat Koordinasi Penanggulangan KARHUTLA Tahun 2023 di Provinsi Kalimantan Tengah. BMKG Kalimantan Tengah. </w:t>
      </w:r>
    </w:p>
    <w:p w14:paraId="587A844F" w14:textId="5EAF82BE" w:rsidR="009A4550" w:rsidRPr="00182C6E" w:rsidRDefault="009A4550" w:rsidP="00182C6E">
      <w:pPr>
        <w:widowControl w:val="0"/>
        <w:autoSpaceDE w:val="0"/>
        <w:autoSpaceDN w:val="0"/>
        <w:adjustRightInd w:val="0"/>
        <w:spacing w:after="0" w:line="240" w:lineRule="auto"/>
        <w:ind w:left="480" w:hanging="54"/>
        <w:jc w:val="both"/>
        <w:rPr>
          <w:noProof/>
          <w:color w:val="000099"/>
          <w:u w:val="single"/>
        </w:rPr>
      </w:pPr>
      <w:r w:rsidRPr="00182C6E">
        <w:rPr>
          <w:noProof/>
          <w:color w:val="000099"/>
          <w:u w:val="single"/>
        </w:rPr>
        <w:t>https://kalteng.bmkg.go.id/tampil/?judul=Rapat-Koordinasi-Penanggulangan-KARHUTLA-Tahun-2023-di-Provinsi-Kalimantan-Tengah</w:t>
      </w:r>
    </w:p>
    <w:p w14:paraId="4D477C90" w14:textId="77777777" w:rsidR="00182C6E" w:rsidRDefault="009A4550" w:rsidP="00182C6E">
      <w:pPr>
        <w:widowControl w:val="0"/>
        <w:autoSpaceDE w:val="0"/>
        <w:autoSpaceDN w:val="0"/>
        <w:adjustRightInd w:val="0"/>
        <w:spacing w:after="0" w:line="240" w:lineRule="auto"/>
        <w:ind w:left="480" w:hanging="480"/>
        <w:jc w:val="both"/>
        <w:rPr>
          <w:noProof/>
        </w:rPr>
      </w:pPr>
      <w:r w:rsidRPr="009A4550">
        <w:rPr>
          <w:noProof/>
        </w:rPr>
        <w:t xml:space="preserve">BPS. (2023). </w:t>
      </w:r>
      <w:r w:rsidRPr="009A4550">
        <w:rPr>
          <w:i/>
          <w:iCs/>
          <w:noProof/>
        </w:rPr>
        <w:t>Palangka Raya Dalam Angka Tahun 2023</w:t>
      </w:r>
      <w:r w:rsidRPr="009A4550">
        <w:rPr>
          <w:noProof/>
        </w:rPr>
        <w:t xml:space="preserve">. Badan Pusat Statistik. </w:t>
      </w:r>
    </w:p>
    <w:p w14:paraId="6F32BD0A" w14:textId="1AF1E76A" w:rsidR="009A4550" w:rsidRPr="009A4550" w:rsidRDefault="009A4550" w:rsidP="00182C6E">
      <w:pPr>
        <w:widowControl w:val="0"/>
        <w:autoSpaceDE w:val="0"/>
        <w:autoSpaceDN w:val="0"/>
        <w:adjustRightInd w:val="0"/>
        <w:spacing w:after="0" w:line="240" w:lineRule="auto"/>
        <w:ind w:left="480" w:hanging="54"/>
        <w:jc w:val="both"/>
        <w:rPr>
          <w:noProof/>
        </w:rPr>
      </w:pPr>
      <w:r w:rsidRPr="00182C6E">
        <w:rPr>
          <w:noProof/>
          <w:color w:val="000099"/>
          <w:u w:val="single"/>
        </w:rPr>
        <w:t>https://palangkakota.bps.go.id/id/publication/2023/02/28/6b3846d5106e11d4685c67e3/kota-palangka-raya-dalam-angka-2023.html</w:t>
      </w:r>
    </w:p>
    <w:p w14:paraId="088B0985" w14:textId="3CD53157" w:rsidR="009A4550" w:rsidRPr="00502B27" w:rsidRDefault="009A4550" w:rsidP="00502B27">
      <w:pPr>
        <w:widowControl w:val="0"/>
        <w:autoSpaceDE w:val="0"/>
        <w:autoSpaceDN w:val="0"/>
        <w:adjustRightInd w:val="0"/>
        <w:spacing w:after="0" w:line="240" w:lineRule="auto"/>
        <w:ind w:left="480" w:hanging="480"/>
        <w:jc w:val="both"/>
        <w:rPr>
          <w:noProof/>
        </w:rPr>
      </w:pPr>
      <w:r w:rsidRPr="009A4550">
        <w:rPr>
          <w:noProof/>
        </w:rPr>
        <w:t xml:space="preserve">BRGM. (n.d.). </w:t>
      </w:r>
      <w:r w:rsidRPr="00182C6E">
        <w:rPr>
          <w:noProof/>
        </w:rPr>
        <w:t xml:space="preserve">Melakukan restorasi, rehabilitasi, dan pengelolaan gambut dan mangrove untuk menjaga kelestarian ekosistem gambut dan mangrove serta mengurangi risiko kebakaran hutan. </w:t>
      </w:r>
      <w:r w:rsidRPr="009A4550">
        <w:rPr>
          <w:noProof/>
        </w:rPr>
        <w:t>Badan Restorasi Gambut Dan Mangrove.</w:t>
      </w:r>
      <w:r w:rsidR="00502B27">
        <w:rPr>
          <w:noProof/>
        </w:rPr>
        <w:t xml:space="preserve"> </w:t>
      </w:r>
      <w:r w:rsidRPr="00182C6E">
        <w:rPr>
          <w:noProof/>
          <w:color w:val="000099"/>
          <w:u w:val="single"/>
        </w:rPr>
        <w:t xml:space="preserve">https://brgm.go.id/ </w:t>
      </w:r>
    </w:p>
    <w:p w14:paraId="2B8A5C9B" w14:textId="77777777" w:rsidR="00182C6E" w:rsidRDefault="009A4550" w:rsidP="00182C6E">
      <w:pPr>
        <w:widowControl w:val="0"/>
        <w:autoSpaceDE w:val="0"/>
        <w:autoSpaceDN w:val="0"/>
        <w:adjustRightInd w:val="0"/>
        <w:spacing w:after="0" w:line="240" w:lineRule="auto"/>
        <w:ind w:left="480" w:hanging="480"/>
        <w:jc w:val="both"/>
        <w:rPr>
          <w:noProof/>
        </w:rPr>
      </w:pPr>
      <w:r w:rsidRPr="009A4550">
        <w:rPr>
          <w:noProof/>
        </w:rPr>
        <w:t xml:space="preserve">Devi, L. Y., Andari, Y., &amp; Wihastuti, L. (2020). </w:t>
      </w:r>
      <w:r w:rsidR="00182C6E" w:rsidRPr="00041E0F">
        <w:rPr>
          <w:i/>
          <w:iCs/>
          <w:noProof/>
        </w:rPr>
        <w:t>Model Sosial-Ekonomi dan Ketahanan Pangan Rumah Tangga di Indonesia Socio-Economic Model And Households ’ Food Security In Indonesia</w:t>
      </w:r>
      <w:r w:rsidR="00182C6E" w:rsidRPr="009A4550">
        <w:rPr>
          <w:noProof/>
        </w:rPr>
        <w:t xml:space="preserve">. </w:t>
      </w:r>
      <w:r w:rsidRPr="009A4550">
        <w:rPr>
          <w:i/>
          <w:iCs/>
          <w:noProof/>
        </w:rPr>
        <w:t>Jurnal Ekonomi Dan Pembangunan</w:t>
      </w:r>
      <w:r w:rsidRPr="009A4550">
        <w:rPr>
          <w:noProof/>
        </w:rPr>
        <w:t xml:space="preserve">, </w:t>
      </w:r>
      <w:r w:rsidRPr="009A4550">
        <w:rPr>
          <w:i/>
          <w:iCs/>
          <w:noProof/>
        </w:rPr>
        <w:t>28</w:t>
      </w:r>
      <w:r w:rsidRPr="009A4550">
        <w:rPr>
          <w:noProof/>
        </w:rPr>
        <w:t xml:space="preserve">(2), 103–116. </w:t>
      </w:r>
    </w:p>
    <w:p w14:paraId="58F8E18C" w14:textId="76941F86" w:rsidR="009A4550" w:rsidRPr="00182C6E" w:rsidRDefault="009A4550" w:rsidP="00182C6E">
      <w:pPr>
        <w:widowControl w:val="0"/>
        <w:autoSpaceDE w:val="0"/>
        <w:autoSpaceDN w:val="0"/>
        <w:adjustRightInd w:val="0"/>
        <w:spacing w:after="0" w:line="240" w:lineRule="auto"/>
        <w:ind w:left="480" w:hanging="54"/>
        <w:jc w:val="both"/>
        <w:rPr>
          <w:noProof/>
          <w:color w:val="000099"/>
          <w:u w:val="single"/>
        </w:rPr>
      </w:pPr>
      <w:r w:rsidRPr="00182C6E">
        <w:rPr>
          <w:noProof/>
          <w:color w:val="000099"/>
          <w:u w:val="single"/>
        </w:rPr>
        <w:t>https://doi.org/https://doi.org/10.14203/JEP.28.2.2020.103-115</w:t>
      </w:r>
    </w:p>
    <w:p w14:paraId="5EF19478" w14:textId="6A568A45" w:rsidR="009A4550" w:rsidRPr="00502B27" w:rsidRDefault="009A4550" w:rsidP="00502B27">
      <w:pPr>
        <w:widowControl w:val="0"/>
        <w:autoSpaceDE w:val="0"/>
        <w:autoSpaceDN w:val="0"/>
        <w:adjustRightInd w:val="0"/>
        <w:spacing w:after="0" w:line="240" w:lineRule="auto"/>
        <w:ind w:left="480" w:hanging="480"/>
        <w:jc w:val="both"/>
        <w:rPr>
          <w:noProof/>
        </w:rPr>
      </w:pPr>
      <w:r w:rsidRPr="009A4550">
        <w:rPr>
          <w:noProof/>
        </w:rPr>
        <w:t xml:space="preserve">Ekawati, S., Siburian, R., Surati, S., Nurlia, A., Yanarita, Y., &amp; Sundary, L. V. (2024). </w:t>
      </w:r>
      <w:r w:rsidRPr="00041E0F">
        <w:rPr>
          <w:i/>
          <w:iCs/>
          <w:noProof/>
        </w:rPr>
        <w:t>Zero-Burning Policy in Land Preparation: Social Changes and Its Impact on Communities and the Environment. Forest and Society, 8(2), 331–349</w:t>
      </w:r>
      <w:r w:rsidRPr="009A4550">
        <w:rPr>
          <w:noProof/>
        </w:rPr>
        <w:t>.</w:t>
      </w:r>
      <w:r w:rsidR="00502B27">
        <w:rPr>
          <w:noProof/>
        </w:rPr>
        <w:t xml:space="preserve"> </w:t>
      </w:r>
      <w:r w:rsidRPr="00041E0F">
        <w:rPr>
          <w:noProof/>
          <w:color w:val="000099"/>
          <w:u w:val="single"/>
        </w:rPr>
        <w:t>https://doi.org/10.24259/fs.v8i2.32262</w:t>
      </w:r>
    </w:p>
    <w:p w14:paraId="4DFD37F4" w14:textId="77777777" w:rsidR="00041E0F" w:rsidRPr="00165CBE" w:rsidRDefault="009A4550" w:rsidP="00182C6E">
      <w:pPr>
        <w:widowControl w:val="0"/>
        <w:autoSpaceDE w:val="0"/>
        <w:autoSpaceDN w:val="0"/>
        <w:adjustRightInd w:val="0"/>
        <w:spacing w:after="0" w:line="240" w:lineRule="auto"/>
        <w:ind w:left="480" w:hanging="480"/>
        <w:jc w:val="both"/>
        <w:rPr>
          <w:i/>
          <w:iCs/>
          <w:noProof/>
        </w:rPr>
      </w:pPr>
      <w:r w:rsidRPr="009A4550">
        <w:rPr>
          <w:noProof/>
        </w:rPr>
        <w:t xml:space="preserve">FAO. (2022). </w:t>
      </w:r>
      <w:r w:rsidRPr="00165CBE">
        <w:rPr>
          <w:i/>
          <w:iCs/>
          <w:noProof/>
        </w:rPr>
        <w:t>The State of World Fisheries and Aquaculture 2022. Food and Agriculture Organitation of The United Nations.</w:t>
      </w:r>
    </w:p>
    <w:p w14:paraId="74D9ACE9" w14:textId="47D192E5" w:rsidR="009A4550" w:rsidRPr="00041E0F" w:rsidRDefault="009A4550" w:rsidP="00041E0F">
      <w:pPr>
        <w:widowControl w:val="0"/>
        <w:autoSpaceDE w:val="0"/>
        <w:autoSpaceDN w:val="0"/>
        <w:adjustRightInd w:val="0"/>
        <w:spacing w:after="0" w:line="240" w:lineRule="auto"/>
        <w:ind w:left="480" w:hanging="54"/>
        <w:jc w:val="both"/>
        <w:rPr>
          <w:noProof/>
          <w:color w:val="000099"/>
          <w:u w:val="single"/>
        </w:rPr>
      </w:pPr>
      <w:r w:rsidRPr="00041E0F">
        <w:rPr>
          <w:noProof/>
          <w:color w:val="000099"/>
          <w:u w:val="single"/>
        </w:rPr>
        <w:t>https://openknowledge.fao.org/items/11a4abd8-4e09-4bef-9c12-900fb4605a02</w:t>
      </w:r>
    </w:p>
    <w:p w14:paraId="5DCB675F" w14:textId="77777777" w:rsidR="009A4550" w:rsidRPr="00165CBE" w:rsidRDefault="009A4550" w:rsidP="00182C6E">
      <w:pPr>
        <w:widowControl w:val="0"/>
        <w:autoSpaceDE w:val="0"/>
        <w:autoSpaceDN w:val="0"/>
        <w:adjustRightInd w:val="0"/>
        <w:spacing w:after="0" w:line="240" w:lineRule="auto"/>
        <w:ind w:left="480" w:hanging="480"/>
        <w:jc w:val="both"/>
        <w:rPr>
          <w:noProof/>
          <w:color w:val="000099"/>
          <w:u w:val="single"/>
        </w:rPr>
      </w:pPr>
      <w:r w:rsidRPr="009A4550">
        <w:rPr>
          <w:noProof/>
        </w:rPr>
        <w:t xml:space="preserve">FAO. (2023). </w:t>
      </w:r>
      <w:r w:rsidRPr="00165CBE">
        <w:rPr>
          <w:noProof/>
        </w:rPr>
        <w:t>Definisi Ketahanan Pangan. 110.</w:t>
      </w:r>
      <w:r w:rsidRPr="00165CBE">
        <w:rPr>
          <w:noProof/>
          <w:color w:val="000099"/>
          <w:u w:val="single"/>
        </w:rPr>
        <w:t xml:space="preserve"> https://www.fao.org/4/y2735id/y2735id.pdf</w:t>
      </w:r>
    </w:p>
    <w:p w14:paraId="5F4983BF" w14:textId="77777777" w:rsidR="009A4550" w:rsidRPr="009A4550" w:rsidRDefault="009A4550" w:rsidP="00182C6E">
      <w:pPr>
        <w:widowControl w:val="0"/>
        <w:autoSpaceDE w:val="0"/>
        <w:autoSpaceDN w:val="0"/>
        <w:adjustRightInd w:val="0"/>
        <w:spacing w:after="0" w:line="240" w:lineRule="auto"/>
        <w:ind w:left="480" w:hanging="480"/>
        <w:jc w:val="both"/>
        <w:rPr>
          <w:noProof/>
        </w:rPr>
      </w:pPr>
      <w:r w:rsidRPr="009A4550">
        <w:rPr>
          <w:noProof/>
        </w:rPr>
        <w:t>Guiné, R. de P. F., Pato, M. L. de J., da Costa, C. A., da Costa, D. de V. T. A., da Silva, P. B. C., &amp; Martinho, V. J. P. D. (2021).</w:t>
      </w:r>
      <w:r w:rsidRPr="00165CBE">
        <w:rPr>
          <w:i/>
          <w:iCs/>
          <w:noProof/>
        </w:rPr>
        <w:t xml:space="preserve"> Food security and sustainability: Discussing the four pillars to encompass other dimensions. Foods, 10(11)</w:t>
      </w:r>
      <w:r w:rsidRPr="009A4550">
        <w:rPr>
          <w:noProof/>
        </w:rPr>
        <w:t xml:space="preserve">. </w:t>
      </w:r>
      <w:r w:rsidRPr="00502B27">
        <w:rPr>
          <w:noProof/>
          <w:color w:val="000099"/>
          <w:u w:val="single"/>
        </w:rPr>
        <w:t>https://doi.org/10.3390/foods10112732</w:t>
      </w:r>
    </w:p>
    <w:p w14:paraId="2250273B" w14:textId="77777777" w:rsidR="009A4550" w:rsidRPr="00502B27" w:rsidRDefault="009A4550" w:rsidP="00182C6E">
      <w:pPr>
        <w:widowControl w:val="0"/>
        <w:autoSpaceDE w:val="0"/>
        <w:autoSpaceDN w:val="0"/>
        <w:adjustRightInd w:val="0"/>
        <w:spacing w:after="0" w:line="240" w:lineRule="auto"/>
        <w:ind w:left="480" w:hanging="480"/>
        <w:jc w:val="both"/>
        <w:rPr>
          <w:noProof/>
          <w:color w:val="000099"/>
          <w:u w:val="single"/>
        </w:rPr>
      </w:pPr>
      <w:r w:rsidRPr="009A4550">
        <w:rPr>
          <w:noProof/>
        </w:rPr>
        <w:t xml:space="preserve">Hayes, A. (2025). </w:t>
      </w:r>
      <w:r w:rsidRPr="009A4550">
        <w:rPr>
          <w:i/>
          <w:iCs/>
          <w:noProof/>
        </w:rPr>
        <w:t>Understanding Engel’s Law: Impact on Food Spending and Economic Growth</w:t>
      </w:r>
      <w:r w:rsidRPr="009A4550">
        <w:rPr>
          <w:noProof/>
        </w:rPr>
        <w:t xml:space="preserve">. Investopedia. </w:t>
      </w:r>
      <w:r w:rsidRPr="00502B27">
        <w:rPr>
          <w:noProof/>
          <w:color w:val="000099"/>
          <w:u w:val="single"/>
        </w:rPr>
        <w:t>https://www.investopedia.com/terms/e/engels-law.asp</w:t>
      </w:r>
    </w:p>
    <w:p w14:paraId="77FDCB09" w14:textId="77777777" w:rsidR="009A4550" w:rsidRPr="00502B27" w:rsidRDefault="009A4550" w:rsidP="00182C6E">
      <w:pPr>
        <w:widowControl w:val="0"/>
        <w:autoSpaceDE w:val="0"/>
        <w:autoSpaceDN w:val="0"/>
        <w:adjustRightInd w:val="0"/>
        <w:spacing w:after="0" w:line="240" w:lineRule="auto"/>
        <w:ind w:left="480" w:hanging="480"/>
        <w:jc w:val="both"/>
        <w:rPr>
          <w:noProof/>
          <w:color w:val="000099"/>
          <w:u w:val="single"/>
        </w:rPr>
      </w:pPr>
      <w:r w:rsidRPr="009A4550">
        <w:rPr>
          <w:noProof/>
        </w:rPr>
        <w:t xml:space="preserve">Lestari, Y. V., Pratiwi, T., Sanubari, E., Wijaya, F. A., Kesehatan, I., Kristen, U., Wacana, S., Salatiga, K., &amp; Tengah, J. (2022). </w:t>
      </w:r>
      <w:r w:rsidRPr="009A4550">
        <w:rPr>
          <w:i/>
          <w:iCs/>
          <w:noProof/>
        </w:rPr>
        <w:t>A</w:t>
      </w:r>
      <w:r w:rsidRPr="00502B27">
        <w:rPr>
          <w:noProof/>
        </w:rPr>
        <w:t xml:space="preserve">kses Pangan Rumah Tangga Petani pada Kelompok Tani Qaryah Thayyibah di Kota Salatiga Farmer Household Food Access to Qaryah Thayyibah Tani Group in Salatiga City. 6(1). </w:t>
      </w:r>
      <w:r w:rsidRPr="00502B27">
        <w:rPr>
          <w:noProof/>
          <w:color w:val="000099"/>
          <w:u w:val="single"/>
        </w:rPr>
        <w:t>https://doi.org/10.20473/amnt.v6i1.2022.72-81</w:t>
      </w:r>
    </w:p>
    <w:p w14:paraId="01EA810C" w14:textId="77777777" w:rsidR="00502B27" w:rsidRPr="00C332A3" w:rsidRDefault="009A4550" w:rsidP="00182C6E">
      <w:pPr>
        <w:widowControl w:val="0"/>
        <w:autoSpaceDE w:val="0"/>
        <w:autoSpaceDN w:val="0"/>
        <w:adjustRightInd w:val="0"/>
        <w:spacing w:after="0" w:line="240" w:lineRule="auto"/>
        <w:ind w:left="480" w:hanging="480"/>
        <w:jc w:val="both"/>
        <w:rPr>
          <w:noProof/>
        </w:rPr>
      </w:pPr>
      <w:r w:rsidRPr="009A4550">
        <w:rPr>
          <w:noProof/>
        </w:rPr>
        <w:t xml:space="preserve">Lizana, J. (2023). Pertanian Berkelanjutan Di Lahan Gambut Untuk Mewujudkan Ketahanan Pangan Dan Ekonomi Sirkular Masyarakat Tani Jalur Pipa Sidrap. </w:t>
      </w:r>
      <w:r w:rsidRPr="00C332A3">
        <w:rPr>
          <w:noProof/>
        </w:rPr>
        <w:t xml:space="preserve">Learning Society: Jurnal CSR, Pendidikan Dan Pemberdayaan Masyarakat, 4(1), 275–284. </w:t>
      </w:r>
    </w:p>
    <w:p w14:paraId="5E6318D8" w14:textId="59D2AAAC" w:rsidR="009A4550" w:rsidRPr="00C332A3" w:rsidRDefault="009A4550" w:rsidP="00C332A3">
      <w:pPr>
        <w:widowControl w:val="0"/>
        <w:autoSpaceDE w:val="0"/>
        <w:autoSpaceDN w:val="0"/>
        <w:adjustRightInd w:val="0"/>
        <w:spacing w:after="0" w:line="240" w:lineRule="auto"/>
        <w:ind w:left="480" w:hanging="54"/>
        <w:jc w:val="both"/>
        <w:rPr>
          <w:noProof/>
          <w:color w:val="000099"/>
          <w:u w:val="single"/>
        </w:rPr>
      </w:pPr>
      <w:r w:rsidRPr="00C332A3">
        <w:rPr>
          <w:noProof/>
          <w:color w:val="000099"/>
          <w:u w:val="single"/>
        </w:rPr>
        <w:t>https://doi.org/10.30872/ls.v4i1.2564</w:t>
      </w:r>
    </w:p>
    <w:p w14:paraId="1ABD0AFC" w14:textId="77777777" w:rsidR="009A4550" w:rsidRPr="009A4550" w:rsidRDefault="009A4550" w:rsidP="00182C6E">
      <w:pPr>
        <w:widowControl w:val="0"/>
        <w:autoSpaceDE w:val="0"/>
        <w:autoSpaceDN w:val="0"/>
        <w:adjustRightInd w:val="0"/>
        <w:spacing w:after="0" w:line="240" w:lineRule="auto"/>
        <w:ind w:left="480" w:hanging="480"/>
        <w:jc w:val="both"/>
        <w:rPr>
          <w:noProof/>
        </w:rPr>
      </w:pPr>
      <w:r w:rsidRPr="009A4550">
        <w:rPr>
          <w:noProof/>
        </w:rPr>
        <w:t xml:space="preserve">Premono, B. T., Wakhid, N., Handayani, D., Nurzakiah, S., &amp; Tata, H. L. (2024). </w:t>
      </w:r>
      <w:r w:rsidRPr="00C332A3">
        <w:rPr>
          <w:i/>
          <w:iCs/>
          <w:noProof/>
        </w:rPr>
        <w:t xml:space="preserve">Home garden mixed cropping practice by communities living on peatland in household’s income resilience and climate adaptation. IOP Conference Series: Earth and Environmental Science, 1315(1). </w:t>
      </w:r>
      <w:r w:rsidRPr="00C332A3">
        <w:rPr>
          <w:noProof/>
          <w:color w:val="000099"/>
          <w:u w:val="single"/>
        </w:rPr>
        <w:t>https://doi.org/10.1088/1755-1315/1315/1/012003</w:t>
      </w:r>
    </w:p>
    <w:p w14:paraId="615B2A54" w14:textId="77777777" w:rsidR="009A4550" w:rsidRPr="00C84510" w:rsidRDefault="009A4550" w:rsidP="00182C6E">
      <w:pPr>
        <w:widowControl w:val="0"/>
        <w:autoSpaceDE w:val="0"/>
        <w:autoSpaceDN w:val="0"/>
        <w:adjustRightInd w:val="0"/>
        <w:spacing w:after="0" w:line="240" w:lineRule="auto"/>
        <w:ind w:left="480" w:hanging="480"/>
        <w:jc w:val="both"/>
        <w:rPr>
          <w:noProof/>
        </w:rPr>
      </w:pPr>
      <w:r w:rsidRPr="009A4550">
        <w:rPr>
          <w:noProof/>
        </w:rPr>
        <w:t xml:space="preserve">Purwanti, R., Agatha, I., Ginting, B., Aulia, N. P., &amp; Dieny, F. F. (2024). </w:t>
      </w:r>
      <w:r w:rsidRPr="00C84510">
        <w:rPr>
          <w:noProof/>
        </w:rPr>
        <w:t xml:space="preserve">ACCESS Karakteristik Keluarga , Ketahanan Pangan , Pengeluaran Pangan , dan Keanekaragaman Pangan Keluarga dengan dan tanpa WaSt ( Wasting-Stunting ) pada Anak di Kota Semarang Family Characteristics , Food Security , Expenditure , and Dietary Diversity a. 8(3), 228–239. </w:t>
      </w:r>
      <w:r w:rsidRPr="00C84510">
        <w:rPr>
          <w:noProof/>
          <w:color w:val="000099"/>
          <w:u w:val="single"/>
        </w:rPr>
        <w:t>https://doi.org/10.20473/amnt.v8i3SP.2024.22</w:t>
      </w:r>
    </w:p>
    <w:p w14:paraId="0173CEFB" w14:textId="77777777" w:rsidR="009A4550" w:rsidRDefault="009A4550" w:rsidP="00182C6E">
      <w:pPr>
        <w:widowControl w:val="0"/>
        <w:autoSpaceDE w:val="0"/>
        <w:autoSpaceDN w:val="0"/>
        <w:adjustRightInd w:val="0"/>
        <w:spacing w:after="0" w:line="240" w:lineRule="auto"/>
        <w:ind w:left="480" w:hanging="480"/>
        <w:jc w:val="both"/>
        <w:rPr>
          <w:noProof/>
        </w:rPr>
      </w:pPr>
      <w:r w:rsidRPr="009A4550">
        <w:rPr>
          <w:noProof/>
        </w:rPr>
        <w:t xml:space="preserve">Rochmania. (2023). Hubungan Diversifikasi Pendapatan Dengan Ketahanan Pangan Rumah Tangga Petani Di Kecamatan Nalumsari Kabupaten Jepara. </w:t>
      </w:r>
      <w:r w:rsidRPr="009A4550">
        <w:rPr>
          <w:i/>
          <w:iCs/>
          <w:noProof/>
        </w:rPr>
        <w:t>AGRISTA</w:t>
      </w:r>
      <w:r w:rsidRPr="009A4550">
        <w:rPr>
          <w:noProof/>
        </w:rPr>
        <w:t xml:space="preserve">, </w:t>
      </w:r>
      <w:r w:rsidRPr="009A4550">
        <w:rPr>
          <w:i/>
          <w:iCs/>
          <w:noProof/>
        </w:rPr>
        <w:t>11</w:t>
      </w:r>
      <w:r w:rsidRPr="009A4550">
        <w:rPr>
          <w:noProof/>
        </w:rPr>
        <w:t>(2), 81–92.</w:t>
      </w:r>
    </w:p>
    <w:p w14:paraId="39361965" w14:textId="532A5F03" w:rsidR="00432A25" w:rsidRPr="00432A25" w:rsidRDefault="00432A25" w:rsidP="00432A25">
      <w:pPr>
        <w:widowControl w:val="0"/>
        <w:autoSpaceDE w:val="0"/>
        <w:autoSpaceDN w:val="0"/>
        <w:adjustRightInd w:val="0"/>
        <w:spacing w:after="0" w:line="240" w:lineRule="auto"/>
        <w:ind w:left="480" w:hanging="54"/>
        <w:jc w:val="both"/>
        <w:rPr>
          <w:noProof/>
          <w:color w:val="000099"/>
          <w:u w:val="single"/>
        </w:rPr>
      </w:pPr>
      <w:r w:rsidRPr="00432A25">
        <w:rPr>
          <w:noProof/>
          <w:color w:val="000099"/>
          <w:u w:val="single"/>
        </w:rPr>
        <w:t>https://jurnal.uns.ac.id/agrista/article/view/77575</w:t>
      </w:r>
    </w:p>
    <w:p w14:paraId="52D82D54" w14:textId="77777777" w:rsidR="009A4550" w:rsidRDefault="009A4550" w:rsidP="00182C6E">
      <w:pPr>
        <w:widowControl w:val="0"/>
        <w:autoSpaceDE w:val="0"/>
        <w:autoSpaceDN w:val="0"/>
        <w:adjustRightInd w:val="0"/>
        <w:spacing w:after="0" w:line="240" w:lineRule="auto"/>
        <w:ind w:left="480" w:hanging="480"/>
        <w:jc w:val="both"/>
        <w:rPr>
          <w:noProof/>
        </w:rPr>
      </w:pPr>
      <w:r w:rsidRPr="009A4550">
        <w:rPr>
          <w:noProof/>
        </w:rPr>
        <w:t xml:space="preserve">Shofiyati, R., Payani, A. S., Kustiyo, K., &amp; Khomarudin, M. R. (2025). </w:t>
      </w:r>
      <w:r w:rsidRPr="009A4550">
        <w:rPr>
          <w:i/>
          <w:iCs/>
          <w:noProof/>
        </w:rPr>
        <w:t>From evaluation to innovation : Strengthening geospatial agricultural monitoring information system in Indonesia</w:t>
      </w:r>
      <w:r w:rsidRPr="009A4550">
        <w:rPr>
          <w:noProof/>
        </w:rPr>
        <w:t xml:space="preserve">. </w:t>
      </w:r>
      <w:r w:rsidRPr="009A4550">
        <w:rPr>
          <w:i/>
          <w:iCs/>
          <w:noProof/>
        </w:rPr>
        <w:t>4</w:t>
      </w:r>
      <w:r w:rsidRPr="009A4550">
        <w:rPr>
          <w:noProof/>
        </w:rPr>
        <w:t>(1), 975–994.</w:t>
      </w:r>
    </w:p>
    <w:p w14:paraId="4B92E81E" w14:textId="428CDBE5" w:rsidR="007966AA" w:rsidRPr="007966AA" w:rsidRDefault="007966AA" w:rsidP="007966AA">
      <w:pPr>
        <w:widowControl w:val="0"/>
        <w:autoSpaceDE w:val="0"/>
        <w:autoSpaceDN w:val="0"/>
        <w:adjustRightInd w:val="0"/>
        <w:spacing w:after="0" w:line="240" w:lineRule="auto"/>
        <w:ind w:left="480" w:hanging="54"/>
        <w:jc w:val="both"/>
        <w:rPr>
          <w:noProof/>
          <w:color w:val="000099"/>
          <w:u w:val="single"/>
        </w:rPr>
      </w:pPr>
      <w:r w:rsidRPr="007966AA">
        <w:rPr>
          <w:noProof/>
          <w:color w:val="000099"/>
          <w:u w:val="single"/>
        </w:rPr>
        <w:t>https://hsd.ardascience.com/index.php/journal/article/view/1140</w:t>
      </w:r>
    </w:p>
    <w:p w14:paraId="4A4FC78F" w14:textId="77777777" w:rsidR="009A4550" w:rsidRPr="009A4550" w:rsidRDefault="009A4550" w:rsidP="00182C6E">
      <w:pPr>
        <w:widowControl w:val="0"/>
        <w:autoSpaceDE w:val="0"/>
        <w:autoSpaceDN w:val="0"/>
        <w:adjustRightInd w:val="0"/>
        <w:spacing w:after="0" w:line="240" w:lineRule="auto"/>
        <w:ind w:left="480" w:hanging="480"/>
        <w:jc w:val="both"/>
        <w:rPr>
          <w:noProof/>
        </w:rPr>
      </w:pPr>
      <w:r w:rsidRPr="009A4550">
        <w:rPr>
          <w:noProof/>
        </w:rPr>
        <w:t xml:space="preserve">Sileshi, M., Kadigi, R., Mutabazi, K., &amp; Sieber, S. (2019). </w:t>
      </w:r>
      <w:r w:rsidRPr="00C84510">
        <w:rPr>
          <w:i/>
          <w:iCs/>
          <w:noProof/>
        </w:rPr>
        <w:t xml:space="preserve">Analysis of households ’ vulnerability to food insecurity and its influencing factors in East. Journal of Economic Structures. </w:t>
      </w:r>
      <w:r w:rsidRPr="00C84510">
        <w:rPr>
          <w:noProof/>
          <w:color w:val="000099"/>
          <w:u w:val="single"/>
        </w:rPr>
        <w:lastRenderedPageBreak/>
        <w:t>https://doi.org/10.1186/s40008-019-0174-y</w:t>
      </w:r>
    </w:p>
    <w:p w14:paraId="71A7884C" w14:textId="77777777" w:rsidR="009A4550" w:rsidRPr="009A4550" w:rsidRDefault="009A4550" w:rsidP="00182C6E">
      <w:pPr>
        <w:widowControl w:val="0"/>
        <w:autoSpaceDE w:val="0"/>
        <w:autoSpaceDN w:val="0"/>
        <w:adjustRightInd w:val="0"/>
        <w:spacing w:after="0" w:line="240" w:lineRule="auto"/>
        <w:ind w:left="480" w:hanging="480"/>
        <w:jc w:val="both"/>
        <w:rPr>
          <w:noProof/>
        </w:rPr>
      </w:pPr>
      <w:r w:rsidRPr="009A4550">
        <w:rPr>
          <w:noProof/>
        </w:rPr>
        <w:t xml:space="preserve">Tanziha, I., Khomsan, A., Sumarti, T., Dina, R. A., Diana, R., &amp; Rohmaeni, Y. (2023). </w:t>
      </w:r>
      <w:r w:rsidRPr="007966AA">
        <w:rPr>
          <w:i/>
          <w:iCs/>
          <w:noProof/>
        </w:rPr>
        <w:t>Children’s Food Habits and Food Security among Households in Low and High Gender Equality in Indonesia. Amerta Nutrition, 7(3), 365–376</w:t>
      </w:r>
      <w:r w:rsidRPr="009A4550">
        <w:rPr>
          <w:noProof/>
        </w:rPr>
        <w:t xml:space="preserve">. </w:t>
      </w:r>
      <w:r w:rsidRPr="007966AA">
        <w:rPr>
          <w:noProof/>
          <w:color w:val="000099"/>
          <w:u w:val="single"/>
        </w:rPr>
        <w:t>https://doi.org/10.20473/amnt.v7i3.2023.365-376</w:t>
      </w:r>
    </w:p>
    <w:p w14:paraId="4324B329" w14:textId="77777777" w:rsidR="009A4550" w:rsidRPr="009A4550" w:rsidRDefault="009A4550" w:rsidP="00182C6E">
      <w:pPr>
        <w:widowControl w:val="0"/>
        <w:autoSpaceDE w:val="0"/>
        <w:autoSpaceDN w:val="0"/>
        <w:adjustRightInd w:val="0"/>
        <w:spacing w:after="0" w:line="240" w:lineRule="auto"/>
        <w:ind w:left="480" w:hanging="480"/>
        <w:jc w:val="both"/>
        <w:rPr>
          <w:noProof/>
        </w:rPr>
      </w:pPr>
      <w:r w:rsidRPr="009A4550">
        <w:rPr>
          <w:noProof/>
        </w:rPr>
        <w:t>Wang, Z., Josephson, A., &amp; Dizon, F. (2025). I</w:t>
      </w:r>
      <w:r w:rsidRPr="006C1244">
        <w:rPr>
          <w:i/>
          <w:iCs/>
          <w:noProof/>
        </w:rPr>
        <w:t xml:space="preserve">ntra-household inequality in food expenditures and diet quality in the Philippines. In Food Security (Vol. 17, Issue 1). Springer Netherlands. </w:t>
      </w:r>
      <w:r w:rsidRPr="006C1244">
        <w:rPr>
          <w:noProof/>
          <w:color w:val="000099"/>
          <w:u w:val="single"/>
        </w:rPr>
        <w:t>https://doi.org/10.1007/s12571-024-01485-6</w:t>
      </w:r>
    </w:p>
    <w:p w14:paraId="71FA06EE" w14:textId="77777777" w:rsidR="009A4550" w:rsidRPr="006C1244" w:rsidRDefault="009A4550" w:rsidP="00182C6E">
      <w:pPr>
        <w:widowControl w:val="0"/>
        <w:autoSpaceDE w:val="0"/>
        <w:autoSpaceDN w:val="0"/>
        <w:adjustRightInd w:val="0"/>
        <w:spacing w:after="0" w:line="240" w:lineRule="auto"/>
        <w:ind w:left="480" w:hanging="480"/>
        <w:jc w:val="both"/>
        <w:rPr>
          <w:noProof/>
        </w:rPr>
      </w:pPr>
      <w:r w:rsidRPr="006C1244">
        <w:rPr>
          <w:noProof/>
        </w:rPr>
        <w:t xml:space="preserve">Yamin M. (2019). Kerentananketahanan pangan wilayah dan hubungannya dengan karakteristik sosial ekonomi petani dalam konsep “. Jurnal Ekonomi Pertanian Dan Agribisnis, 3(3), 495–502. </w:t>
      </w:r>
      <w:r w:rsidRPr="006C1244">
        <w:rPr>
          <w:noProof/>
          <w:color w:val="000099"/>
          <w:u w:val="single"/>
        </w:rPr>
        <w:t>https://doi.org/https://doi.org/10.21776/ub.jepa.2019.003.03.5</w:t>
      </w:r>
    </w:p>
    <w:p w14:paraId="122C9F2B" w14:textId="77777777" w:rsidR="006C1244" w:rsidRDefault="009A4550" w:rsidP="00182C6E">
      <w:pPr>
        <w:widowControl w:val="0"/>
        <w:autoSpaceDE w:val="0"/>
        <w:autoSpaceDN w:val="0"/>
        <w:adjustRightInd w:val="0"/>
        <w:spacing w:after="0" w:line="240" w:lineRule="auto"/>
        <w:ind w:left="480" w:hanging="480"/>
        <w:jc w:val="both"/>
        <w:rPr>
          <w:noProof/>
        </w:rPr>
      </w:pPr>
      <w:r w:rsidRPr="009A4550">
        <w:rPr>
          <w:noProof/>
        </w:rPr>
        <w:t xml:space="preserve">Yazid, M., Adriani, D., Riswani, &amp; Damayanthy, D. (2024). </w:t>
      </w:r>
      <w:r w:rsidRPr="006C1244">
        <w:rPr>
          <w:i/>
          <w:iCs/>
          <w:noProof/>
        </w:rPr>
        <w:t xml:space="preserve">Farm Household Vulnerability Due to Land and Forest Fire in Peatland Areas in South Sumatra. Land, 13(5). </w:t>
      </w:r>
    </w:p>
    <w:p w14:paraId="1FE8CCE7" w14:textId="11A215D7" w:rsidR="009A4550" w:rsidRPr="006C1244" w:rsidRDefault="009A4550" w:rsidP="006C1244">
      <w:pPr>
        <w:widowControl w:val="0"/>
        <w:autoSpaceDE w:val="0"/>
        <w:autoSpaceDN w:val="0"/>
        <w:adjustRightInd w:val="0"/>
        <w:spacing w:after="0" w:line="240" w:lineRule="auto"/>
        <w:ind w:left="480" w:hanging="54"/>
        <w:jc w:val="both"/>
        <w:rPr>
          <w:noProof/>
          <w:color w:val="000099"/>
          <w:u w:val="single"/>
        </w:rPr>
      </w:pPr>
      <w:r w:rsidRPr="006C1244">
        <w:rPr>
          <w:noProof/>
          <w:color w:val="000099"/>
          <w:u w:val="single"/>
        </w:rPr>
        <w:t>https://doi.org/10.3390/land13050642</w:t>
      </w:r>
    </w:p>
    <w:p w14:paraId="410977E2" w14:textId="77777777" w:rsidR="009A4550" w:rsidRPr="0028527F" w:rsidRDefault="009A4550" w:rsidP="00182C6E">
      <w:pPr>
        <w:widowControl w:val="0"/>
        <w:autoSpaceDE w:val="0"/>
        <w:autoSpaceDN w:val="0"/>
        <w:adjustRightInd w:val="0"/>
        <w:spacing w:after="0" w:line="240" w:lineRule="auto"/>
        <w:ind w:left="480" w:hanging="480"/>
        <w:jc w:val="both"/>
        <w:rPr>
          <w:noProof/>
          <w:color w:val="000099"/>
          <w:u w:val="single"/>
        </w:rPr>
      </w:pPr>
      <w:r w:rsidRPr="009A4550">
        <w:rPr>
          <w:noProof/>
        </w:rPr>
        <w:t xml:space="preserve">Yeny, I., Garsetiasih, R., Suharti, S., Gunawan, H., Sawitri, R., Karlina, E., Narendra, B. H., Surati, Ekawati, S., Djaenudin, D., Rachmanadi, D., Heriyanto, N. M., Sylviani, &amp; Takandjandji, M. (2022). </w:t>
      </w:r>
      <w:r w:rsidRPr="0028527F">
        <w:rPr>
          <w:i/>
          <w:iCs/>
          <w:noProof/>
        </w:rPr>
        <w:t>Examining the Socio-Economic and Natural Resource Risks of Food Estate Development on Peatlands: A Strategy for Economic Recovery and Natural Resource Sustainability. Sustainability (Switzerland), 14(7), 1–29.</w:t>
      </w:r>
      <w:r w:rsidRPr="009A4550">
        <w:rPr>
          <w:noProof/>
        </w:rPr>
        <w:t xml:space="preserve"> </w:t>
      </w:r>
      <w:r w:rsidRPr="0028527F">
        <w:rPr>
          <w:noProof/>
          <w:color w:val="000099"/>
          <w:u w:val="single"/>
        </w:rPr>
        <w:t>https://doi.org/10.3390/su14073961</w:t>
      </w:r>
    </w:p>
    <w:p w14:paraId="32C5CC01" w14:textId="77777777" w:rsidR="009631D0" w:rsidRPr="00D07620" w:rsidRDefault="009631D0" w:rsidP="00182C6E">
      <w:pPr>
        <w:spacing w:after="0" w:line="240" w:lineRule="auto"/>
        <w:jc w:val="both"/>
        <w:rPr>
          <w:b/>
          <w:bCs/>
          <w:color w:val="000000" w:themeColor="text1"/>
          <w:sz w:val="24"/>
          <w:szCs w:val="24"/>
          <w:lang w:val="id-ID"/>
        </w:rPr>
      </w:pPr>
      <w:r w:rsidRPr="009631D0">
        <w:rPr>
          <w:b/>
          <w:bCs/>
          <w:color w:val="000000" w:themeColor="text1"/>
          <w:lang w:val="id-ID"/>
        </w:rPr>
        <w:fldChar w:fldCharType="end"/>
      </w:r>
    </w:p>
    <w:p w14:paraId="69300772" w14:textId="77777777" w:rsidR="009631D0" w:rsidRDefault="009631D0" w:rsidP="009631D0">
      <w:pPr>
        <w:spacing w:after="0" w:line="360" w:lineRule="auto"/>
        <w:jc w:val="both"/>
        <w:rPr>
          <w:b/>
          <w:bCs/>
          <w:color w:val="000000" w:themeColor="text1"/>
          <w:sz w:val="24"/>
          <w:szCs w:val="24"/>
          <w:lang w:val="id-ID"/>
        </w:rPr>
      </w:pPr>
    </w:p>
    <w:p w14:paraId="729A8C62" w14:textId="77777777" w:rsidR="009631D0" w:rsidRDefault="009631D0" w:rsidP="009631D0">
      <w:pPr>
        <w:spacing w:after="0" w:line="360" w:lineRule="auto"/>
        <w:jc w:val="both"/>
        <w:rPr>
          <w:b/>
          <w:bCs/>
          <w:color w:val="000000" w:themeColor="text1"/>
          <w:sz w:val="24"/>
          <w:szCs w:val="24"/>
          <w:lang w:val="id-ID"/>
        </w:rPr>
      </w:pPr>
    </w:p>
    <w:p w14:paraId="2E0881FD" w14:textId="77777777" w:rsidR="009631D0" w:rsidRDefault="009631D0" w:rsidP="009631D0">
      <w:pPr>
        <w:spacing w:after="0" w:line="360" w:lineRule="auto"/>
        <w:jc w:val="both"/>
        <w:rPr>
          <w:b/>
          <w:bCs/>
          <w:color w:val="000000" w:themeColor="text1"/>
          <w:sz w:val="24"/>
          <w:szCs w:val="24"/>
          <w:lang w:val="id-ID"/>
        </w:rPr>
      </w:pPr>
    </w:p>
    <w:p w14:paraId="176FA074" w14:textId="77777777" w:rsidR="009631D0" w:rsidRDefault="009631D0" w:rsidP="009631D0">
      <w:pPr>
        <w:spacing w:after="0" w:line="360" w:lineRule="auto"/>
        <w:jc w:val="both"/>
        <w:rPr>
          <w:b/>
          <w:bCs/>
          <w:color w:val="000000" w:themeColor="text1"/>
          <w:sz w:val="24"/>
          <w:szCs w:val="24"/>
          <w:lang w:val="id-ID"/>
        </w:rPr>
      </w:pPr>
    </w:p>
    <w:p w14:paraId="0DFBC8A9" w14:textId="157B8CED" w:rsidR="0027013F" w:rsidRDefault="0027013F" w:rsidP="009631D0">
      <w:pPr>
        <w:widowControl w:val="0"/>
        <w:autoSpaceDE w:val="0"/>
        <w:autoSpaceDN w:val="0"/>
        <w:adjustRightInd w:val="0"/>
        <w:spacing w:after="240" w:line="240" w:lineRule="auto"/>
        <w:ind w:left="480" w:hanging="480"/>
        <w:jc w:val="both"/>
        <w:rPr>
          <w:color w:val="202124"/>
        </w:rPr>
      </w:pPr>
    </w:p>
    <w:sectPr w:rsidR="0027013F" w:rsidSect="00022F6A">
      <w:headerReference w:type="even" r:id="rId16"/>
      <w:headerReference w:type="default" r:id="rId17"/>
      <w:footerReference w:type="even" r:id="rId18"/>
      <w:footerReference w:type="default" r:id="rId19"/>
      <w:headerReference w:type="first" r:id="rId20"/>
      <w:footerReference w:type="first" r:id="rId21"/>
      <w:pgSz w:w="11907" w:h="16839"/>
      <w:pgMar w:top="1134" w:right="1134" w:bottom="1134" w:left="1701" w:header="709" w:footer="709" w:gutter="0"/>
      <w:pgNumType w:start="7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C1A66" w14:textId="77777777" w:rsidR="00D261FB" w:rsidRDefault="00D261FB">
      <w:pPr>
        <w:spacing w:after="0" w:line="240" w:lineRule="auto"/>
      </w:pPr>
      <w:r>
        <w:separator/>
      </w:r>
    </w:p>
  </w:endnote>
  <w:endnote w:type="continuationSeparator" w:id="0">
    <w:p w14:paraId="115E6B86" w14:textId="77777777" w:rsidR="00D261FB" w:rsidRDefault="00D26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8A9FBFE-FBD1-4CBA-B591-37B7F803FF8A}"/>
    <w:embedBold r:id="rId2" w:fontKey="{E557AD4C-689A-4D59-B010-6D1084361D6D}"/>
    <w:embedItalic r:id="rId3" w:fontKey="{1B5074D3-F689-4FF1-A29C-81700C5ED063}"/>
  </w:font>
  <w:font w:name="Cambria">
    <w:panose1 w:val="02040503050406030204"/>
    <w:charset w:val="00"/>
    <w:family w:val="roman"/>
    <w:pitch w:val="variable"/>
    <w:sig w:usb0="E00006FF" w:usb1="420024FF" w:usb2="02000000" w:usb3="00000000" w:csb0="0000019F" w:csb1="00000000"/>
    <w:embedRegular r:id="rId4" w:fontKey="{292D675D-A517-4FEB-A1BF-4DA97ED9F591}"/>
    <w:embedItalic r:id="rId5" w:fontKey="{905B8030-4A37-46E0-AC00-A777C263E7F5}"/>
  </w:font>
  <w:font w:name="Tahoma">
    <w:panose1 w:val="020B0604030504040204"/>
    <w:charset w:val="00"/>
    <w:family w:val="swiss"/>
    <w:pitch w:val="variable"/>
    <w:sig w:usb0="E1002EFF" w:usb1="C000605B" w:usb2="00000029" w:usb3="00000000" w:csb0="000101FF" w:csb1="00000000"/>
    <w:embedRegular r:id="rId6" w:fontKey="{9F74E918-87E1-4393-9621-FF8A607EB49A}"/>
  </w:font>
  <w:font w:name="Calibri Light">
    <w:panose1 w:val="020F0302020204030204"/>
    <w:charset w:val="00"/>
    <w:family w:val="swiss"/>
    <w:pitch w:val="variable"/>
    <w:sig w:usb0="E4002EFF" w:usb1="C000247B" w:usb2="00000009" w:usb3="00000000" w:csb0="000001FF" w:csb1="00000000"/>
    <w:embedBold r:id="rId7" w:fontKey="{7FD12C52-0193-4A59-913A-0867DC4339C7}"/>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8" w:fontKey="{E1FC6AEC-197B-4EE5-9715-A89E5B62D5B1}"/>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Regular r:id="rId9" w:fontKey="{A88EDB92-6E65-4E7D-88DF-C4856E715C67}"/>
  </w:font>
  <w:font w:name="TimesNewRomanPSMT">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embedRegular r:id="rId10" w:fontKey="{FCD469FE-9120-443F-8514-D239F7B9582D}"/>
    <w:embedItalic r:id="rId11" w:fontKey="{F740E289-E9DD-4762-B0EE-42D0DE9C068E}"/>
  </w:font>
  <w:font w:name="Open Sans Light">
    <w:charset w:val="00"/>
    <w:family w:val="swiss"/>
    <w:pitch w:val="variable"/>
    <w:sig w:usb0="E00002EF" w:usb1="4000205B" w:usb2="00000028" w:usb3="00000000" w:csb0="0000019F" w:csb1="00000000"/>
    <w:embedRegular r:id="rId12" w:fontKey="{0295145E-A142-4648-992C-F8BBB1B9BDC1}"/>
    <w:embedBold r:id="rId13" w:fontKey="{DA52430B-C945-4E7E-BFB2-7DC33C6D5F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8DB4" w14:textId="77777777" w:rsidR="0027013F" w:rsidRDefault="0027013F">
    <w:pPr>
      <w:pBdr>
        <w:top w:val="nil"/>
        <w:left w:val="nil"/>
        <w:bottom w:val="nil"/>
        <w:right w:val="nil"/>
        <w:between w:val="nil"/>
      </w:pBdr>
      <w:tabs>
        <w:tab w:val="center" w:pos="4680"/>
        <w:tab w:val="right" w:pos="9360"/>
      </w:tabs>
      <w:spacing w:after="0" w:line="240" w:lineRule="auto"/>
      <w:rPr>
        <w:color w:val="000000"/>
        <w:sz w:val="20"/>
        <w:szCs w:val="20"/>
      </w:rPr>
    </w:pPr>
  </w:p>
  <w:p w14:paraId="436DFFF1" w14:textId="77777777" w:rsidR="0027013F" w:rsidRDefault="00D83A94">
    <w:pPr>
      <w:pBdr>
        <w:top w:val="nil"/>
        <w:left w:val="nil"/>
        <w:bottom w:val="nil"/>
        <w:right w:val="nil"/>
        <w:between w:val="nil"/>
      </w:pBdr>
      <w:tabs>
        <w:tab w:val="center" w:pos="4680"/>
        <w:tab w:val="right" w:pos="9360"/>
      </w:tabs>
      <w:spacing w:after="0" w:line="240" w:lineRule="auto"/>
      <w:jc w:val="right"/>
      <w:rPr>
        <w:color w:val="000000"/>
        <w:sz w:val="20"/>
        <w:szCs w:val="20"/>
      </w:rPr>
    </w:pPr>
    <w:r>
      <w:rPr>
        <w:color w:val="000000"/>
        <w:sz w:val="20"/>
        <w:szCs w:val="20"/>
      </w:rPr>
      <w:t xml:space="preserve">Cita Ekonomika: Jurnal Ilmu Ekonomi | Vol. xxx | </w:t>
    </w:r>
    <w:r>
      <w:rPr>
        <w:color w:val="000000"/>
        <w:sz w:val="20"/>
        <w:szCs w:val="20"/>
      </w:rPr>
      <w:fldChar w:fldCharType="begin"/>
    </w:r>
    <w:r>
      <w:rPr>
        <w:color w:val="000000"/>
        <w:sz w:val="20"/>
        <w:szCs w:val="20"/>
      </w:rPr>
      <w:instrText>PAGE</w:instrTex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CE022" w14:textId="77777777" w:rsidR="0027013F" w:rsidRDefault="0027013F">
    <w:pPr>
      <w:pBdr>
        <w:top w:val="nil"/>
        <w:left w:val="nil"/>
        <w:bottom w:val="nil"/>
        <w:right w:val="nil"/>
        <w:between w:val="nil"/>
      </w:pBdr>
      <w:tabs>
        <w:tab w:val="center" w:pos="4680"/>
        <w:tab w:val="right" w:pos="9360"/>
      </w:tabs>
      <w:spacing w:after="0" w:line="240" w:lineRule="auto"/>
      <w:jc w:val="right"/>
      <w:rPr>
        <w:color w:val="000000"/>
        <w:sz w:val="20"/>
        <w:szCs w:val="20"/>
      </w:rPr>
    </w:pPr>
  </w:p>
  <w:p w14:paraId="5C9F2F93" w14:textId="77777777" w:rsidR="0027013F" w:rsidRDefault="00D83A94">
    <w:pPr>
      <w:pBdr>
        <w:top w:val="nil"/>
        <w:left w:val="nil"/>
        <w:bottom w:val="nil"/>
        <w:right w:val="nil"/>
        <w:between w:val="nil"/>
      </w:pBdr>
      <w:tabs>
        <w:tab w:val="center" w:pos="4680"/>
        <w:tab w:val="right" w:pos="9360"/>
      </w:tabs>
      <w:spacing w:after="0" w:line="240" w:lineRule="auto"/>
      <w:jc w:val="right"/>
      <w:rPr>
        <w:color w:val="000000"/>
        <w:sz w:val="20"/>
        <w:szCs w:val="20"/>
      </w:rPr>
    </w:pPr>
    <w:r>
      <w:rPr>
        <w:color w:val="000000"/>
        <w:sz w:val="20"/>
        <w:szCs w:val="20"/>
      </w:rPr>
      <w:t xml:space="preserve">Sodality: Jurnal Sosiologi Pedesaan | Vol. 16 (01) 2020 | </w:t>
    </w:r>
    <w:r>
      <w:rPr>
        <w:color w:val="000000"/>
        <w:sz w:val="20"/>
        <w:szCs w:val="20"/>
      </w:rPr>
      <w:fldChar w:fldCharType="begin"/>
    </w:r>
    <w:r>
      <w:rPr>
        <w:color w:val="000000"/>
        <w:sz w:val="20"/>
        <w:szCs w:val="20"/>
      </w:rPr>
      <w:instrText>PAGE</w:instrTex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EB74" w14:textId="77777777" w:rsidR="0027013F" w:rsidRDefault="00D83A94">
    <w:pPr>
      <w:spacing w:after="0"/>
      <w:jc w:val="both"/>
      <w:rPr>
        <w:sz w:val="18"/>
        <w:szCs w:val="18"/>
      </w:rPr>
    </w:pPr>
    <w:r>
      <w:rPr>
        <w:sz w:val="18"/>
        <w:szCs w:val="18"/>
      </w:rPr>
      <w:t xml:space="preserve">Content from this work may be used under the terms of the Creative Commons Attribution-NonCommercial 4.0 International. Any further distributionof this work must maintain attribution to the author(s) and the title of the work, journal citation and DOI. Published under Department of Economic Development, FEB Pattimura University. </w:t>
    </w:r>
    <w:r>
      <w:rPr>
        <w:color w:val="111111"/>
        <w:sz w:val="18"/>
        <w:szCs w:val="18"/>
        <w:highlight w:val="white"/>
      </w:rPr>
      <w:t>P-ISSN: 1978-3612, E-ISSN:  2775-3328</w:t>
    </w:r>
    <w:r>
      <w:rPr>
        <w:noProof/>
        <w:lang w:val="en-US"/>
      </w:rPr>
      <w:drawing>
        <wp:anchor distT="0" distB="0" distL="114300" distR="114300" simplePos="0" relativeHeight="251662336" behindDoc="0" locked="0" layoutInCell="1" hidden="0" allowOverlap="1" wp14:anchorId="08B4AE47" wp14:editId="168E8B40">
          <wp:simplePos x="0" y="0"/>
          <wp:positionH relativeFrom="column">
            <wp:posOffset>1</wp:posOffset>
          </wp:positionH>
          <wp:positionV relativeFrom="paragraph">
            <wp:posOffset>2540</wp:posOffset>
          </wp:positionV>
          <wp:extent cx="1219200" cy="419100"/>
          <wp:effectExtent l="0" t="0" r="0" b="0"/>
          <wp:wrapSquare wrapText="bothSides" distT="0" distB="0" distL="114300" distR="114300"/>
          <wp:docPr id="24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t="892" b="892"/>
                  <a:stretch>
                    <a:fillRect/>
                  </a:stretch>
                </pic:blipFill>
                <pic:spPr>
                  <a:xfrm>
                    <a:off x="0" y="0"/>
                    <a:ext cx="1219200" cy="419100"/>
                  </a:xfrm>
                  <a:prstGeom prst="rect">
                    <a:avLst/>
                  </a:prstGeom>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67D85" w14:textId="36EF3268" w:rsidR="0027013F" w:rsidRDefault="00D83A94">
    <w:pPr>
      <w:pBdr>
        <w:top w:val="nil"/>
        <w:left w:val="nil"/>
        <w:bottom w:val="nil"/>
        <w:right w:val="nil"/>
        <w:between w:val="nil"/>
      </w:pBdr>
      <w:tabs>
        <w:tab w:val="center" w:pos="4680"/>
        <w:tab w:val="right" w:pos="9360"/>
      </w:tabs>
      <w:spacing w:after="0" w:line="240" w:lineRule="auto"/>
      <w:jc w:val="right"/>
      <w:rPr>
        <w:color w:val="000000"/>
      </w:rPr>
    </w:pPr>
    <w:r>
      <w:rPr>
        <w:color w:val="000000"/>
        <w:sz w:val="20"/>
        <w:szCs w:val="20"/>
      </w:rPr>
      <w:t>Cita Ekonomik</w:t>
    </w:r>
    <w:r w:rsidR="008F5DAC">
      <w:rPr>
        <w:color w:val="000000"/>
        <w:sz w:val="20"/>
        <w:szCs w:val="20"/>
      </w:rPr>
      <w:t>a: Jurnal Ilmu Ekonomi | Vol. 19 (2) 2025</w:t>
    </w:r>
    <w:r>
      <w:rPr>
        <w:color w:val="000000"/>
        <w:sz w:val="20"/>
        <w:szCs w:val="20"/>
      </w:rPr>
      <w:t xml:space="preserve"> | </w:t>
    </w:r>
    <w:r>
      <w:rPr>
        <w:color w:val="000000"/>
        <w:sz w:val="20"/>
        <w:szCs w:val="20"/>
      </w:rPr>
      <w:fldChar w:fldCharType="begin"/>
    </w:r>
    <w:r>
      <w:rPr>
        <w:color w:val="000000"/>
        <w:sz w:val="20"/>
        <w:szCs w:val="20"/>
      </w:rPr>
      <w:instrText>PAGE</w:instrText>
    </w:r>
    <w:r>
      <w:rPr>
        <w:color w:val="000000"/>
        <w:sz w:val="20"/>
        <w:szCs w:val="20"/>
      </w:rPr>
      <w:fldChar w:fldCharType="separate"/>
    </w:r>
    <w:r w:rsidR="008F5DAC">
      <w:rPr>
        <w:noProof/>
        <w:color w:val="000000"/>
        <w:sz w:val="20"/>
        <w:szCs w:val="20"/>
      </w:rPr>
      <w:t>2</w:t>
    </w:r>
    <w:r>
      <w:rPr>
        <w:color w:val="00000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904E3" w14:textId="515D6BDB" w:rsidR="0027013F" w:rsidRDefault="00D83A94">
    <w:pPr>
      <w:pBdr>
        <w:top w:val="nil"/>
        <w:left w:val="nil"/>
        <w:bottom w:val="nil"/>
        <w:right w:val="nil"/>
        <w:between w:val="nil"/>
      </w:pBdr>
      <w:tabs>
        <w:tab w:val="center" w:pos="4680"/>
        <w:tab w:val="right" w:pos="9360"/>
      </w:tabs>
      <w:spacing w:after="0" w:line="240" w:lineRule="auto"/>
      <w:jc w:val="right"/>
      <w:rPr>
        <w:color w:val="000000"/>
      </w:rPr>
    </w:pPr>
    <w:r>
      <w:rPr>
        <w:color w:val="000000"/>
        <w:sz w:val="20"/>
        <w:szCs w:val="20"/>
      </w:rPr>
      <w:t>Cita Ekonomik</w:t>
    </w:r>
    <w:r w:rsidR="008F5DAC">
      <w:rPr>
        <w:color w:val="000000"/>
        <w:sz w:val="20"/>
        <w:szCs w:val="20"/>
      </w:rPr>
      <w:t>a: Jurnal Ilmu Ekonomi | Vol. 19 (2</w:t>
    </w:r>
    <w:r>
      <w:rPr>
        <w:color w:val="000000"/>
        <w:sz w:val="20"/>
        <w:szCs w:val="20"/>
      </w:rPr>
      <w:t>) 20</w:t>
    </w:r>
    <w:r w:rsidR="008F5DAC">
      <w:rPr>
        <w:color w:val="000000"/>
        <w:sz w:val="20"/>
        <w:szCs w:val="20"/>
      </w:rPr>
      <w:t>25</w:t>
    </w:r>
    <w:r>
      <w:rPr>
        <w:color w:val="000000"/>
        <w:sz w:val="20"/>
        <w:szCs w:val="20"/>
      </w:rPr>
      <w:t xml:space="preserve"> |</w:t>
    </w:r>
    <w:r>
      <w:rPr>
        <w:color w:val="000000"/>
      </w:rPr>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sidR="008F5DAC">
      <w:rPr>
        <w:noProof/>
        <w:color w:val="000000"/>
        <w:sz w:val="20"/>
        <w:szCs w:val="20"/>
      </w:rPr>
      <w:t>3</w:t>
    </w:r>
    <w:r>
      <w:rPr>
        <w:color w:val="000000"/>
        <w:sz w:val="20"/>
        <w:szCs w:val="20"/>
      </w:rPr>
      <w:fldChar w:fldCharType="end"/>
    </w:r>
    <w:r>
      <w:rPr>
        <w:color w:val="00000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2C48" w14:textId="77777777" w:rsidR="0027013F" w:rsidRDefault="00D83A94">
    <w:pPr>
      <w:pBdr>
        <w:top w:val="nil"/>
        <w:left w:val="nil"/>
        <w:bottom w:val="nil"/>
        <w:right w:val="nil"/>
        <w:between w:val="nil"/>
      </w:pBdr>
      <w:tabs>
        <w:tab w:val="center" w:pos="4680"/>
        <w:tab w:val="right" w:pos="9360"/>
      </w:tabs>
      <w:spacing w:after="0" w:line="240" w:lineRule="auto"/>
      <w:jc w:val="right"/>
      <w:rPr>
        <w:color w:val="000000"/>
        <w:sz w:val="18"/>
        <w:szCs w:val="18"/>
      </w:rPr>
    </w:pPr>
    <w:r>
      <w:rPr>
        <w:color w:val="000000"/>
        <w:sz w:val="20"/>
        <w:szCs w:val="20"/>
      </w:rPr>
      <w:t>Sodality: Jurnal Sosiologi Pedesaan | Maret 2020 |</w:t>
    </w:r>
    <w:r>
      <w:rPr>
        <w:color w:val="000000"/>
        <w:sz w:val="18"/>
        <w:szCs w:val="18"/>
      </w:rPr>
      <w:fldChar w:fldCharType="begin"/>
    </w:r>
    <w:r>
      <w:rPr>
        <w:color w:val="000000"/>
        <w:sz w:val="18"/>
        <w:szCs w:val="18"/>
      </w:rPr>
      <w:instrText>PAGE</w:instrText>
    </w:r>
    <w:r>
      <w:rPr>
        <w:color w:val="000000"/>
        <w:sz w:val="18"/>
        <w:szCs w:val="18"/>
      </w:rPr>
      <w:fldChar w:fldCharType="end"/>
    </w:r>
  </w:p>
  <w:p w14:paraId="2D61BE45" w14:textId="77777777" w:rsidR="0027013F" w:rsidRDefault="00D83A94">
    <w:pPr>
      <w:pBdr>
        <w:top w:val="nil"/>
        <w:left w:val="nil"/>
        <w:bottom w:val="nil"/>
        <w:right w:val="nil"/>
        <w:between w:val="nil"/>
      </w:pBdr>
      <w:tabs>
        <w:tab w:val="center" w:pos="4680"/>
        <w:tab w:val="right" w:pos="9360"/>
        <w:tab w:val="left" w:pos="8070"/>
      </w:tabs>
      <w:spacing w:after="0" w:line="240" w:lineRule="auto"/>
      <w:rPr>
        <w:color w:val="000000"/>
        <w:sz w:val="18"/>
        <w:szCs w:val="18"/>
      </w:rPr>
    </w:pPr>
    <w:r>
      <w:rPr>
        <w:color w:val="000000"/>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51413" w14:textId="77777777" w:rsidR="00D261FB" w:rsidRDefault="00D261FB">
      <w:pPr>
        <w:spacing w:after="0" w:line="240" w:lineRule="auto"/>
      </w:pPr>
      <w:r>
        <w:separator/>
      </w:r>
    </w:p>
  </w:footnote>
  <w:footnote w:type="continuationSeparator" w:id="0">
    <w:p w14:paraId="5975135F" w14:textId="77777777" w:rsidR="00D261FB" w:rsidRDefault="00D26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C2AC" w14:textId="77777777" w:rsidR="0027013F" w:rsidRDefault="00D83A94">
    <w:pPr>
      <w:pBdr>
        <w:top w:val="nil"/>
        <w:left w:val="nil"/>
        <w:bottom w:val="nil"/>
        <w:right w:val="nil"/>
        <w:between w:val="nil"/>
      </w:pBdr>
      <w:tabs>
        <w:tab w:val="center" w:pos="4680"/>
        <w:tab w:val="right" w:pos="9360"/>
      </w:tabs>
      <w:spacing w:after="0" w:line="240" w:lineRule="auto"/>
      <w:jc w:val="right"/>
      <w:rPr>
        <w:color w:val="000000"/>
        <w:sz w:val="16"/>
        <w:szCs w:val="16"/>
      </w:rPr>
    </w:pPr>
    <w:r>
      <w:rPr>
        <w:color w:val="000000"/>
        <w:sz w:val="16"/>
        <w:szCs w:val="16"/>
      </w:rPr>
      <w:t>Sodality: Jurnal Sosiologi Pedesaan Vol.XX(XX) 2020 | 1-15</w:t>
    </w:r>
    <w:r>
      <w:rPr>
        <w:noProof/>
        <w:lang w:val="en-US"/>
      </w:rPr>
      <w:drawing>
        <wp:anchor distT="0" distB="0" distL="114300" distR="114300" simplePos="0" relativeHeight="251658240" behindDoc="0" locked="0" layoutInCell="1" hidden="0" allowOverlap="1" wp14:anchorId="05B02581" wp14:editId="519B67F4">
          <wp:simplePos x="0" y="0"/>
          <wp:positionH relativeFrom="column">
            <wp:posOffset>1</wp:posOffset>
          </wp:positionH>
          <wp:positionV relativeFrom="paragraph">
            <wp:posOffset>-109219</wp:posOffset>
          </wp:positionV>
          <wp:extent cx="1548765" cy="579120"/>
          <wp:effectExtent l="0" t="0" r="0" b="0"/>
          <wp:wrapSquare wrapText="bothSides" distT="0" distB="0" distL="114300" distR="114300"/>
          <wp:docPr id="24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73672"/>
                  <a:stretch>
                    <a:fillRect/>
                  </a:stretch>
                </pic:blipFill>
                <pic:spPr>
                  <a:xfrm>
                    <a:off x="0" y="0"/>
                    <a:ext cx="1548765" cy="579120"/>
                  </a:xfrm>
                  <a:prstGeom prst="rect">
                    <a:avLst/>
                  </a:prstGeom>
                  <a:ln/>
                </pic:spPr>
              </pic:pic>
            </a:graphicData>
          </a:graphic>
        </wp:anchor>
      </w:drawing>
    </w:r>
  </w:p>
  <w:p w14:paraId="148E0306" w14:textId="77777777" w:rsidR="0027013F" w:rsidRDefault="00D83A94">
    <w:pPr>
      <w:pBdr>
        <w:top w:val="nil"/>
        <w:left w:val="nil"/>
        <w:bottom w:val="nil"/>
        <w:right w:val="nil"/>
        <w:between w:val="nil"/>
      </w:pBdr>
      <w:tabs>
        <w:tab w:val="center" w:pos="4680"/>
        <w:tab w:val="right" w:pos="9360"/>
      </w:tabs>
      <w:spacing w:after="0" w:line="240" w:lineRule="auto"/>
      <w:jc w:val="right"/>
      <w:rPr>
        <w:color w:val="000000"/>
        <w:sz w:val="16"/>
        <w:szCs w:val="16"/>
      </w:rPr>
    </w:pPr>
    <w:r>
      <w:rPr>
        <w:color w:val="000000"/>
        <w:sz w:val="16"/>
        <w:szCs w:val="16"/>
      </w:rPr>
      <w:t>DOI: XXXX</w:t>
    </w:r>
  </w:p>
  <w:p w14:paraId="2716BC0C" w14:textId="77777777" w:rsidR="0027013F" w:rsidRDefault="0027013F">
    <w:pPr>
      <w:pBdr>
        <w:top w:val="nil"/>
        <w:left w:val="nil"/>
        <w:bottom w:val="nil"/>
        <w:right w:val="nil"/>
        <w:between w:val="nil"/>
      </w:pBdr>
      <w:tabs>
        <w:tab w:val="center" w:pos="4680"/>
        <w:tab w:val="right" w:pos="9360"/>
      </w:tabs>
      <w:spacing w:after="0" w:line="240" w:lineRule="auto"/>
      <w:jc w:val="right"/>
      <w:rPr>
        <w:color w:val="000000"/>
        <w:sz w:val="16"/>
        <w:szCs w:val="16"/>
      </w:rPr>
    </w:pPr>
  </w:p>
  <w:p w14:paraId="2E38DB0C" w14:textId="77777777" w:rsidR="0027013F" w:rsidRDefault="00D83A94">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s">
          <w:drawing>
            <wp:anchor distT="4294967294" distB="4294967294" distL="114300" distR="114300" simplePos="0" relativeHeight="251659264" behindDoc="0" locked="0" layoutInCell="1" hidden="0" allowOverlap="1" wp14:anchorId="51EFEE48" wp14:editId="7C95168C">
              <wp:simplePos x="0" y="0"/>
              <wp:positionH relativeFrom="column">
                <wp:posOffset>1</wp:posOffset>
              </wp:positionH>
              <wp:positionV relativeFrom="paragraph">
                <wp:posOffset>106695</wp:posOffset>
              </wp:positionV>
              <wp:extent cx="0" cy="38100"/>
              <wp:effectExtent l="0" t="0" r="0" b="0"/>
              <wp:wrapNone/>
              <wp:docPr id="239" name="Straight Arrow Connector 239"/>
              <wp:cNvGraphicFramePr/>
              <a:graphic xmlns:a="http://schemas.openxmlformats.org/drawingml/2006/main">
                <a:graphicData uri="http://schemas.microsoft.com/office/word/2010/wordprocessingShape">
                  <wps:wsp>
                    <wps:cNvCnPr/>
                    <wps:spPr>
                      <a:xfrm>
                        <a:off x="2383725" y="3780000"/>
                        <a:ext cx="5924550" cy="0"/>
                      </a:xfrm>
                      <a:prstGeom prst="straightConnector1">
                        <a:avLst/>
                      </a:prstGeom>
                      <a:noFill/>
                      <a:ln w="38100" cap="flat" cmpd="sng">
                        <a:solidFill>
                          <a:srgbClr val="014079"/>
                        </a:solidFill>
                        <a:prstDash val="solid"/>
                        <a:round/>
                        <a:headEnd type="none" w="med" len="med"/>
                        <a:tailEnd type="none" w="med" len="med"/>
                      </a:ln>
                    </wps:spPr>
                    <wps:bodyPr/>
                  </wps:wsp>
                </a:graphicData>
              </a:graphic>
            </wp:anchor>
          </w:drawing>
        </mc:Choice>
        <mc:Fallback>
          <w:pict>
            <v:shapetype w14:anchorId="1FE90E30" id="_x0000_t32" coordsize="21600,21600" o:spt="32" o:oned="t" path="m,l21600,21600e" filled="f">
              <v:path arrowok="t" fillok="f" o:connecttype="none"/>
              <o:lock v:ext="edit" shapetype="t"/>
            </v:shapetype>
            <v:shape id="Straight Arrow Connector 239" o:spid="_x0000_s1026" type="#_x0000_t32" style="position:absolute;margin-left:0;margin-top:8.4pt;width:0;height:3pt;z-index:251659264;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" strokecolor="#014079" strokeweight="3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28DB" w14:textId="32D63443" w:rsidR="0027013F" w:rsidRDefault="00D83A94">
    <w:pPr>
      <w:pBdr>
        <w:top w:val="nil"/>
        <w:left w:val="nil"/>
        <w:bottom w:val="nil"/>
        <w:right w:val="nil"/>
        <w:between w:val="nil"/>
      </w:pBdr>
      <w:tabs>
        <w:tab w:val="center" w:pos="4680"/>
        <w:tab w:val="right" w:pos="9360"/>
      </w:tabs>
      <w:spacing w:after="0" w:line="240" w:lineRule="auto"/>
      <w:jc w:val="right"/>
      <w:rPr>
        <w:color w:val="000000"/>
        <w:sz w:val="20"/>
        <w:szCs w:val="20"/>
      </w:rPr>
    </w:pPr>
    <w:r>
      <w:rPr>
        <w:color w:val="000000"/>
        <w:sz w:val="20"/>
        <w:szCs w:val="20"/>
      </w:rPr>
      <w:t>Cita Ekonomi</w:t>
    </w:r>
    <w:r w:rsidR="00DF6868">
      <w:rPr>
        <w:color w:val="000000"/>
        <w:sz w:val="20"/>
        <w:szCs w:val="20"/>
      </w:rPr>
      <w:t xml:space="preserve">ka: Jurnal Ilmu Ekonomi. Vol. 19 (2) 2025 | </w:t>
    </w:r>
    <w:r>
      <w:rPr>
        <w:noProof/>
        <w:lang w:val="en-US"/>
      </w:rPr>
      <w:drawing>
        <wp:anchor distT="0" distB="0" distL="114300" distR="114300" simplePos="0" relativeHeight="251660288" behindDoc="0" locked="0" layoutInCell="1" hidden="0" allowOverlap="1" wp14:anchorId="7E8EE341" wp14:editId="4AB1321E">
          <wp:simplePos x="0" y="0"/>
          <wp:positionH relativeFrom="column">
            <wp:posOffset>50466</wp:posOffset>
          </wp:positionH>
          <wp:positionV relativeFrom="paragraph">
            <wp:posOffset>-286718</wp:posOffset>
          </wp:positionV>
          <wp:extent cx="770021" cy="551796"/>
          <wp:effectExtent l="0" t="0" r="0" b="0"/>
          <wp:wrapNone/>
          <wp:docPr id="24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70021" cy="551796"/>
                  </a:xfrm>
                  <a:prstGeom prst="rect">
                    <a:avLst/>
                  </a:prstGeom>
                  <a:ln/>
                </pic:spPr>
              </pic:pic>
            </a:graphicData>
          </a:graphic>
        </wp:anchor>
      </w:drawing>
    </w:r>
    <w:r w:rsidR="00022F6A">
      <w:rPr>
        <w:color w:val="000000"/>
        <w:sz w:val="20"/>
        <w:szCs w:val="20"/>
      </w:rPr>
      <w:t>71-81</w:t>
    </w:r>
  </w:p>
  <w:p w14:paraId="342A60E1" w14:textId="54402315" w:rsidR="0027013F" w:rsidRDefault="00022F6A" w:rsidP="00022F6A">
    <w:pPr>
      <w:pBdr>
        <w:top w:val="nil"/>
        <w:left w:val="nil"/>
        <w:bottom w:val="nil"/>
        <w:right w:val="nil"/>
        <w:between w:val="nil"/>
      </w:pBdr>
      <w:tabs>
        <w:tab w:val="center" w:pos="4680"/>
        <w:tab w:val="right" w:pos="9360"/>
      </w:tabs>
      <w:spacing w:after="0" w:line="240" w:lineRule="auto"/>
      <w:jc w:val="right"/>
      <w:rPr>
        <w:color w:val="000000"/>
        <w:sz w:val="20"/>
        <w:szCs w:val="20"/>
      </w:rPr>
    </w:pPr>
    <w:r w:rsidRPr="00C80EF0">
      <w:rPr>
        <w:color w:val="000000"/>
        <w:sz w:val="20"/>
        <w:szCs w:val="20"/>
      </w:rPr>
      <w:t>https://doi.org/10.51125/citaekonomika.v19i</w:t>
    </w:r>
    <w:r>
      <w:rPr>
        <w:color w:val="000000"/>
        <w:sz w:val="20"/>
        <w:szCs w:val="20"/>
      </w:rPr>
      <w:t>2</w:t>
    </w:r>
    <w:r w:rsidRPr="00C80EF0">
      <w:rPr>
        <w:color w:val="000000"/>
        <w:sz w:val="20"/>
        <w:szCs w:val="20"/>
      </w:rPr>
      <w:t>.18923</w:t>
    </w:r>
  </w:p>
  <w:p w14:paraId="58D37360" w14:textId="77777777" w:rsidR="0027013F" w:rsidRDefault="00D83A94">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s">
          <w:drawing>
            <wp:anchor distT="4294967295" distB="4294967295" distL="114300" distR="114300" simplePos="0" relativeHeight="251661312" behindDoc="0" locked="0" layoutInCell="1" hidden="0" allowOverlap="1" wp14:anchorId="0ADC8C55" wp14:editId="4A004DC7">
              <wp:simplePos x="0" y="0"/>
              <wp:positionH relativeFrom="column">
                <wp:posOffset>12701</wp:posOffset>
              </wp:positionH>
              <wp:positionV relativeFrom="paragraph">
                <wp:posOffset>17796</wp:posOffset>
              </wp:positionV>
              <wp:extent cx="0" cy="19050"/>
              <wp:effectExtent l="0" t="0" r="0" b="0"/>
              <wp:wrapNone/>
              <wp:docPr id="236" name="Straight Arrow Connector 236"/>
              <wp:cNvGraphicFramePr/>
              <a:graphic xmlns:a="http://schemas.openxmlformats.org/drawingml/2006/main">
                <a:graphicData uri="http://schemas.microsoft.com/office/word/2010/wordprocessingShape">
                  <wps:wsp>
                    <wps:cNvCnPr/>
                    <wps:spPr>
                      <a:xfrm>
                        <a:off x="2383725" y="3780000"/>
                        <a:ext cx="5924550" cy="0"/>
                      </a:xfrm>
                      <a:prstGeom prst="straightConnector1">
                        <a:avLst/>
                      </a:prstGeom>
                      <a:noFill/>
                      <a:ln w="19050" cap="flat" cmpd="sng">
                        <a:solidFill>
                          <a:srgbClr val="F4B083"/>
                        </a:solidFill>
                        <a:prstDash val="solid"/>
                        <a:miter lim="800000"/>
                        <a:headEnd type="none" w="med" len="med"/>
                        <a:tailEnd type="none" w="med" len="med"/>
                      </a:ln>
                    </wps:spPr>
                    <wps:bodyPr/>
                  </wps:wsp>
                </a:graphicData>
              </a:graphic>
            </wp:anchor>
          </w:drawing>
        </mc:Choice>
        <mc:Fallback>
          <w:pict>
            <v:shapetype w14:anchorId="7275AAD2" id="_x0000_t32" coordsize="21600,21600" o:spt="32" o:oned="t" path="m,l21600,21600e" filled="f">
              <v:path arrowok="t" fillok="f" o:connecttype="none"/>
              <o:lock v:ext="edit" shapetype="t"/>
            </v:shapetype>
            <v:shape id="Straight Arrow Connector 236" o:spid="_x0000_s1026" type="#_x0000_t32" style="position:absolute;margin-left:1pt;margin-top:1.4pt;width:0;height:1.5pt;z-index:25166131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" strokecolor="#f4b083" strokeweight="1.5pt">
              <v:stroke joinstyle="miter"/>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AC562" w14:textId="77777777" w:rsidR="0027013F" w:rsidRDefault="0027013F">
    <w:pPr>
      <w:pBdr>
        <w:top w:val="nil"/>
        <w:left w:val="nil"/>
        <w:bottom w:val="nil"/>
        <w:right w:val="nil"/>
        <w:between w:val="nil"/>
      </w:pBdr>
      <w:tabs>
        <w:tab w:val="center" w:pos="4680"/>
        <w:tab w:val="right" w:pos="9360"/>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76368" w14:textId="77777777" w:rsidR="0027013F" w:rsidRDefault="0027013F">
    <w:pPr>
      <w:pBdr>
        <w:top w:val="nil"/>
        <w:left w:val="nil"/>
        <w:bottom w:val="nil"/>
        <w:right w:val="nil"/>
        <w:between w:val="nil"/>
      </w:pBdr>
      <w:tabs>
        <w:tab w:val="center" w:pos="4680"/>
        <w:tab w:val="right" w:pos="9360"/>
      </w:tabs>
      <w:spacing w:after="0"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A5794" w14:textId="77777777" w:rsidR="0027013F" w:rsidRDefault="00D83A94">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s">
          <w:drawing>
            <wp:anchor distT="0" distB="0" distL="0" distR="0" simplePos="0" relativeHeight="251663360" behindDoc="1" locked="0" layoutInCell="1" hidden="0" allowOverlap="1" wp14:anchorId="7580C53A" wp14:editId="681B3E00">
              <wp:simplePos x="0" y="0"/>
              <wp:positionH relativeFrom="column">
                <wp:posOffset>0</wp:posOffset>
              </wp:positionH>
              <wp:positionV relativeFrom="paragraph">
                <wp:posOffset>215900</wp:posOffset>
              </wp:positionV>
              <wp:extent cx="5923280" cy="92710"/>
              <wp:effectExtent l="0" t="0" r="0" b="0"/>
              <wp:wrapNone/>
              <wp:docPr id="241" name="Rectangle 241"/>
              <wp:cNvGraphicFramePr/>
              <a:graphic xmlns:a="http://schemas.openxmlformats.org/drawingml/2006/main">
                <a:graphicData uri="http://schemas.microsoft.com/office/word/2010/wordprocessingShape">
                  <wps:wsp>
                    <wps:cNvSpPr/>
                    <wps:spPr>
                      <a:xfrm>
                        <a:off x="2389123" y="3738408"/>
                        <a:ext cx="5913755" cy="83185"/>
                      </a:xfrm>
                      <a:prstGeom prst="rect">
                        <a:avLst/>
                      </a:prstGeom>
                      <a:solidFill>
                        <a:srgbClr val="014079"/>
                      </a:solidFill>
                      <a:ln>
                        <a:noFill/>
                      </a:ln>
                    </wps:spPr>
                    <wps:txbx>
                      <w:txbxContent>
                        <w:p w14:paraId="5FE43488" w14:textId="77777777" w:rsidR="0027013F" w:rsidRDefault="0027013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580C53A" id="Rectangle 241" o:spid="_x0000_s1026" style="position:absolute;margin-left:0;margin-top:17pt;width:466.4pt;height:7.3pt;z-index:-2516531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" fillcolor="#014079" stroked="f">
              <v:textbox inset="2.53958mm,2.53958mm,2.53958mm,2.53958mm">
                <w:txbxContent>
                  <w:p w14:paraId="5FE43488" w14:textId="77777777" w:rsidR="0027013F" w:rsidRDefault="0027013F">
                    <w:pPr>
                      <w:spacing w:after="0" w:line="240" w:lineRule="auto"/>
                      <w:textDirection w:val="btLr"/>
                    </w:pPr>
                  </w:p>
                </w:txbxContent>
              </v:textbox>
            </v:rect>
          </w:pict>
        </mc:Fallback>
      </mc:AlternateContent>
    </w:r>
    <w:r>
      <w:rPr>
        <w:noProof/>
        <w:lang w:val="en-US"/>
      </w:rPr>
      <mc:AlternateContent>
        <mc:Choice Requires="wps">
          <w:drawing>
            <wp:anchor distT="0" distB="0" distL="0" distR="0" simplePos="0" relativeHeight="251664384" behindDoc="1" locked="0" layoutInCell="1" hidden="0" allowOverlap="1" wp14:anchorId="7826709F" wp14:editId="75BB6FCE">
              <wp:simplePos x="0" y="0"/>
              <wp:positionH relativeFrom="column">
                <wp:posOffset>0</wp:posOffset>
              </wp:positionH>
              <wp:positionV relativeFrom="paragraph">
                <wp:posOffset>-152399</wp:posOffset>
              </wp:positionV>
              <wp:extent cx="1724025" cy="478155"/>
              <wp:effectExtent l="0" t="0" r="0" b="0"/>
              <wp:wrapNone/>
              <wp:docPr id="242" name="Rectangle 242"/>
              <wp:cNvGraphicFramePr/>
              <a:graphic xmlns:a="http://schemas.openxmlformats.org/drawingml/2006/main">
                <a:graphicData uri="http://schemas.microsoft.com/office/word/2010/wordprocessingShape">
                  <wps:wsp>
                    <wps:cNvSpPr/>
                    <wps:spPr>
                      <a:xfrm>
                        <a:off x="4488750" y="3545685"/>
                        <a:ext cx="1714500" cy="468630"/>
                      </a:xfrm>
                      <a:prstGeom prst="rect">
                        <a:avLst/>
                      </a:prstGeom>
                      <a:solidFill>
                        <a:srgbClr val="014079"/>
                      </a:solidFill>
                      <a:ln>
                        <a:noFill/>
                      </a:ln>
                    </wps:spPr>
                    <wps:txbx>
                      <w:txbxContent>
                        <w:p w14:paraId="76DA35C7" w14:textId="77777777" w:rsidR="0027013F" w:rsidRDefault="0027013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826709F" id="Rectangle 242" o:spid="_x0000_s1027" style="position:absolute;margin-left:0;margin-top:-12pt;width:135.75pt;height:37.65pt;z-index:-25165209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" fillcolor="#014079" stroked="f">
              <v:textbox inset="2.53958mm,2.53958mm,2.53958mm,2.53958mm">
                <w:txbxContent>
                  <w:p w14:paraId="76DA35C7" w14:textId="77777777" w:rsidR="0027013F" w:rsidRDefault="0027013F">
                    <w:pPr>
                      <w:spacing w:after="0" w:line="240" w:lineRule="auto"/>
                      <w:textDirection w:val="btLr"/>
                    </w:pPr>
                  </w:p>
                </w:txbxContent>
              </v:textbox>
            </v:rect>
          </w:pict>
        </mc:Fallback>
      </mc:AlternateContent>
    </w:r>
    <w:r>
      <w:rPr>
        <w:noProof/>
        <w:lang w:val="en-US"/>
      </w:rPr>
      <mc:AlternateContent>
        <mc:Choice Requires="wps">
          <w:drawing>
            <wp:anchor distT="45720" distB="45720" distL="114300" distR="114300" simplePos="0" relativeHeight="251665408" behindDoc="0" locked="0" layoutInCell="1" hidden="0" allowOverlap="1" wp14:anchorId="32BD2F58" wp14:editId="1ECE000A">
              <wp:simplePos x="0" y="0"/>
              <wp:positionH relativeFrom="column">
                <wp:posOffset>88901</wp:posOffset>
              </wp:positionH>
              <wp:positionV relativeFrom="paragraph">
                <wp:posOffset>-81279</wp:posOffset>
              </wp:positionV>
              <wp:extent cx="1600200" cy="323850"/>
              <wp:effectExtent l="0" t="0" r="0" b="0"/>
              <wp:wrapSquare wrapText="bothSides" distT="45720" distB="45720" distL="114300" distR="114300"/>
              <wp:docPr id="237" name="Rectangle 237"/>
              <wp:cNvGraphicFramePr/>
              <a:graphic xmlns:a="http://schemas.openxmlformats.org/drawingml/2006/main">
                <a:graphicData uri="http://schemas.microsoft.com/office/word/2010/wordprocessingShape">
                  <wps:wsp>
                    <wps:cNvSpPr/>
                    <wps:spPr>
                      <a:xfrm>
                        <a:off x="4550663" y="3622838"/>
                        <a:ext cx="1590675" cy="314325"/>
                      </a:xfrm>
                      <a:prstGeom prst="rect">
                        <a:avLst/>
                      </a:prstGeom>
                      <a:solidFill>
                        <a:srgbClr val="014079"/>
                      </a:solidFill>
                      <a:ln>
                        <a:noFill/>
                      </a:ln>
                    </wps:spPr>
                    <wps:txbx>
                      <w:txbxContent>
                        <w:p w14:paraId="49A248A5" w14:textId="77777777" w:rsidR="0027013F" w:rsidRDefault="00D83A94">
                          <w:pPr>
                            <w:spacing w:line="258" w:lineRule="auto"/>
                            <w:textDirection w:val="btLr"/>
                          </w:pPr>
                          <w:r>
                            <w:rPr>
                              <w:rFonts w:ascii="Open Sans Light" w:eastAsia="Open Sans Light" w:hAnsi="Open Sans Light" w:cs="Open Sans Light"/>
                              <w:b/>
                              <w:color w:val="FFFFFF"/>
                              <w:sz w:val="28"/>
                            </w:rPr>
                            <w:t>PENYULUHAN</w:t>
                          </w:r>
                        </w:p>
                      </w:txbxContent>
                    </wps:txbx>
                    <wps:bodyPr spcFirstLastPara="1" wrap="square" lIns="91425" tIns="45700" rIns="91425" bIns="45700" anchor="t" anchorCtr="0">
                      <a:noAutofit/>
                    </wps:bodyPr>
                  </wps:wsp>
                </a:graphicData>
              </a:graphic>
            </wp:anchor>
          </w:drawing>
        </mc:Choice>
        <mc:Fallback>
          <w:pict>
            <v:rect w14:anchorId="32BD2F58" id="Rectangle 237" o:spid="_x0000_s1028" style="position:absolute;margin-left:7pt;margin-top:-6.4pt;width:126pt;height:25.5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" fillcolor="#014079" stroked="f">
              <v:textbox inset="2.53958mm,1.2694mm,2.53958mm,1.2694mm">
                <w:txbxContent>
                  <w:p w14:paraId="49A248A5" w14:textId="77777777" w:rsidR="0027013F" w:rsidRDefault="00D83A94">
                    <w:pPr>
                      <w:spacing w:line="258" w:lineRule="auto"/>
                      <w:textDirection w:val="btLr"/>
                    </w:pPr>
                    <w:r>
                      <w:rPr>
                        <w:rFonts w:ascii="Open Sans Light" w:eastAsia="Open Sans Light" w:hAnsi="Open Sans Light" w:cs="Open Sans Light"/>
                        <w:b/>
                        <w:color w:val="FFFFFF"/>
                        <w:sz w:val="28"/>
                      </w:rPr>
                      <w:t>PENYULUHAN</w:t>
                    </w:r>
                  </w:p>
                </w:txbxContent>
              </v:textbox>
              <w10:wrap type="square"/>
            </v:rect>
          </w:pict>
        </mc:Fallback>
      </mc:AlternateContent>
    </w:r>
  </w:p>
  <w:p w14:paraId="018E91AD" w14:textId="77777777" w:rsidR="0027013F" w:rsidRDefault="0027013F">
    <w:pPr>
      <w:tabs>
        <w:tab w:val="left" w:pos="212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62010"/>
    <w:multiLevelType w:val="hybridMultilevel"/>
    <w:tmpl w:val="F3CC9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2783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13F"/>
    <w:rsid w:val="00012A80"/>
    <w:rsid w:val="00022F6A"/>
    <w:rsid w:val="00041E0F"/>
    <w:rsid w:val="00074F65"/>
    <w:rsid w:val="00077849"/>
    <w:rsid w:val="000850B4"/>
    <w:rsid w:val="000935EC"/>
    <w:rsid w:val="000D04E7"/>
    <w:rsid w:val="001355CB"/>
    <w:rsid w:val="00142E79"/>
    <w:rsid w:val="00152800"/>
    <w:rsid w:val="00165CBE"/>
    <w:rsid w:val="0016609A"/>
    <w:rsid w:val="00182C6E"/>
    <w:rsid w:val="001B7657"/>
    <w:rsid w:val="0027013F"/>
    <w:rsid w:val="00273D4F"/>
    <w:rsid w:val="0028527F"/>
    <w:rsid w:val="00287000"/>
    <w:rsid w:val="002A61B7"/>
    <w:rsid w:val="002E65D1"/>
    <w:rsid w:val="00313348"/>
    <w:rsid w:val="00323675"/>
    <w:rsid w:val="003867BD"/>
    <w:rsid w:val="003D5A77"/>
    <w:rsid w:val="003E1316"/>
    <w:rsid w:val="00432A25"/>
    <w:rsid w:val="00462939"/>
    <w:rsid w:val="00465CEA"/>
    <w:rsid w:val="00483A68"/>
    <w:rsid w:val="004D58A4"/>
    <w:rsid w:val="004F04CB"/>
    <w:rsid w:val="00502B27"/>
    <w:rsid w:val="005955A1"/>
    <w:rsid w:val="005A3672"/>
    <w:rsid w:val="005A60E3"/>
    <w:rsid w:val="005B3C01"/>
    <w:rsid w:val="005C6659"/>
    <w:rsid w:val="005E002E"/>
    <w:rsid w:val="005F3764"/>
    <w:rsid w:val="005F5D36"/>
    <w:rsid w:val="00612C1B"/>
    <w:rsid w:val="006318C5"/>
    <w:rsid w:val="00632CE8"/>
    <w:rsid w:val="0068014C"/>
    <w:rsid w:val="006C0AD0"/>
    <w:rsid w:val="006C1244"/>
    <w:rsid w:val="006C714B"/>
    <w:rsid w:val="0070436A"/>
    <w:rsid w:val="007230BA"/>
    <w:rsid w:val="00756791"/>
    <w:rsid w:val="00782F55"/>
    <w:rsid w:val="00787D57"/>
    <w:rsid w:val="00790262"/>
    <w:rsid w:val="007966AA"/>
    <w:rsid w:val="007B6090"/>
    <w:rsid w:val="007C2689"/>
    <w:rsid w:val="007D41CA"/>
    <w:rsid w:val="007E18A3"/>
    <w:rsid w:val="007E73C7"/>
    <w:rsid w:val="00855AC5"/>
    <w:rsid w:val="00871D18"/>
    <w:rsid w:val="00876E7D"/>
    <w:rsid w:val="008C5ED1"/>
    <w:rsid w:val="008F5DAC"/>
    <w:rsid w:val="009631D0"/>
    <w:rsid w:val="009A4550"/>
    <w:rsid w:val="009D11C8"/>
    <w:rsid w:val="00A22C0A"/>
    <w:rsid w:val="00AC2B25"/>
    <w:rsid w:val="00AE5EDB"/>
    <w:rsid w:val="00B14A68"/>
    <w:rsid w:val="00B61877"/>
    <w:rsid w:val="00C332A3"/>
    <w:rsid w:val="00C4379A"/>
    <w:rsid w:val="00C467CD"/>
    <w:rsid w:val="00C6661A"/>
    <w:rsid w:val="00C84510"/>
    <w:rsid w:val="00CA09E4"/>
    <w:rsid w:val="00CA308C"/>
    <w:rsid w:val="00CA4FF5"/>
    <w:rsid w:val="00CC17CC"/>
    <w:rsid w:val="00CC44FD"/>
    <w:rsid w:val="00CF3380"/>
    <w:rsid w:val="00CF67B0"/>
    <w:rsid w:val="00D261FB"/>
    <w:rsid w:val="00D4791D"/>
    <w:rsid w:val="00D83A94"/>
    <w:rsid w:val="00DA1D7F"/>
    <w:rsid w:val="00DD7E8B"/>
    <w:rsid w:val="00DF6868"/>
    <w:rsid w:val="00DF71FF"/>
    <w:rsid w:val="00EB3DCB"/>
    <w:rsid w:val="00EB4B92"/>
    <w:rsid w:val="00EC2BAA"/>
    <w:rsid w:val="00F24C0D"/>
    <w:rsid w:val="00F26398"/>
    <w:rsid w:val="00F27ECC"/>
    <w:rsid w:val="00F86C81"/>
    <w:rsid w:val="00F95350"/>
    <w:rsid w:val="00FC6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34E6F"/>
  <w15:docId w15:val="{DDE31DCC-8675-48FC-9D84-6563115D8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color w:val="2E74B5"/>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libri" w:eastAsia="Calibri" w:hAnsi="Calibri" w:cs="Calibri"/>
      <w:b/>
      <w:color w:val="5B9BD5"/>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color w:val="5B9BD5"/>
      <w:sz w:val="20"/>
      <w:szCs w:val="20"/>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Cambria" w:eastAsia="Cambria" w:hAnsi="Cambria" w:cs="Cambria"/>
      <w:i/>
      <w:color w:val="31849B"/>
      <w:sz w:val="25"/>
      <w:szCs w:val="25"/>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Cambria" w:eastAsia="Cambria" w:hAnsi="Cambria" w:cs="Cambria"/>
      <w:i/>
      <w:color w:val="632423"/>
      <w:sz w:val="24"/>
      <w:szCs w:val="24"/>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Cambria" w:eastAsia="Cambria" w:hAnsi="Cambria" w:cs="Cambria"/>
      <w:i/>
      <w:color w:val="984806"/>
      <w:sz w:val="23"/>
      <w:szCs w:val="23"/>
    </w:rPr>
  </w:style>
  <w:style w:type="paragraph" w:styleId="Heading7">
    <w:name w:val="heading 7"/>
    <w:basedOn w:val="Normal"/>
    <w:next w:val="Normal"/>
    <w:link w:val="Heading7Char"/>
    <w:uiPriority w:val="9"/>
    <w:semiHidden/>
    <w:unhideWhenUsed/>
    <w:qFormat/>
    <w:rsid w:val="00345D67"/>
    <w:pPr>
      <w:keepNext/>
      <w:keepLines/>
      <w:spacing w:before="40" w:after="0"/>
      <w:outlineLvl w:val="6"/>
    </w:pPr>
    <w:rPr>
      <w:rFonts w:ascii="Cambria" w:hAnsi="Cambria"/>
      <w:color w:val="244061"/>
    </w:rPr>
  </w:style>
  <w:style w:type="paragraph" w:styleId="Heading8">
    <w:name w:val="heading 8"/>
    <w:basedOn w:val="Normal"/>
    <w:next w:val="Normal"/>
    <w:link w:val="Heading8Char"/>
    <w:uiPriority w:val="9"/>
    <w:semiHidden/>
    <w:unhideWhenUsed/>
    <w:qFormat/>
    <w:rsid w:val="00345D67"/>
    <w:pPr>
      <w:keepNext/>
      <w:keepLines/>
      <w:spacing w:before="40" w:after="0"/>
      <w:outlineLvl w:val="7"/>
    </w:pPr>
    <w:rPr>
      <w:rFonts w:ascii="Cambria" w:hAnsi="Cambria"/>
      <w:color w:val="632423"/>
      <w:sz w:val="21"/>
      <w:szCs w:val="21"/>
    </w:rPr>
  </w:style>
  <w:style w:type="paragraph" w:styleId="Heading9">
    <w:name w:val="heading 9"/>
    <w:basedOn w:val="Normal"/>
    <w:next w:val="Normal"/>
    <w:link w:val="Heading9Char"/>
    <w:uiPriority w:val="9"/>
    <w:semiHidden/>
    <w:unhideWhenUsed/>
    <w:qFormat/>
    <w:rsid w:val="00345D67"/>
    <w:pPr>
      <w:keepNext/>
      <w:keepLines/>
      <w:spacing w:before="40" w:after="0"/>
      <w:outlineLvl w:val="8"/>
    </w:pPr>
    <w:rPr>
      <w:rFonts w:ascii="Cambria" w:hAnsi="Cambria"/>
      <w:color w:val="98480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0" w:line="240" w:lineRule="auto"/>
    </w:pPr>
    <w:rPr>
      <w:rFonts w:ascii="Cambria" w:eastAsia="Cambria" w:hAnsi="Cambria" w:cs="Cambria"/>
      <w:color w:val="365F91"/>
      <w:sz w:val="52"/>
      <w:szCs w:val="52"/>
    </w:rPr>
  </w:style>
  <w:style w:type="character" w:customStyle="1" w:styleId="HeaderChar">
    <w:name w:val="Header Char"/>
    <w:basedOn w:val="DefaultParagraphFont"/>
    <w:link w:val="Header"/>
    <w:uiPriority w:val="99"/>
    <w:rsid w:val="007721ED"/>
  </w:style>
  <w:style w:type="character" w:customStyle="1" w:styleId="FooterChar">
    <w:name w:val="Footer Char"/>
    <w:basedOn w:val="DefaultParagraphFont"/>
    <w:link w:val="Footer"/>
    <w:uiPriority w:val="99"/>
    <w:rsid w:val="007721ED"/>
  </w:style>
  <w:style w:type="character" w:customStyle="1" w:styleId="FootnoteTextChar">
    <w:name w:val="Footnote Text Char"/>
    <w:link w:val="FootnoteText"/>
    <w:uiPriority w:val="99"/>
    <w:rsid w:val="007721ED"/>
    <w:rPr>
      <w:sz w:val="20"/>
      <w:szCs w:val="20"/>
    </w:rPr>
  </w:style>
  <w:style w:type="character" w:customStyle="1" w:styleId="BalloonTextChar">
    <w:name w:val="Balloon Text Char"/>
    <w:link w:val="BalloonText"/>
    <w:uiPriority w:val="99"/>
    <w:semiHidden/>
    <w:rsid w:val="007721ED"/>
    <w:rPr>
      <w:rFonts w:ascii="Tahoma" w:hAnsi="Tahoma" w:cs="Tahoma"/>
      <w:sz w:val="16"/>
      <w:szCs w:val="16"/>
    </w:rPr>
  </w:style>
  <w:style w:type="character" w:customStyle="1" w:styleId="CommentTextChar">
    <w:name w:val="Comment Text Char"/>
    <w:link w:val="CommentText"/>
    <w:uiPriority w:val="99"/>
    <w:semiHidden/>
    <w:rsid w:val="007721ED"/>
    <w:rPr>
      <w:sz w:val="20"/>
      <w:szCs w:val="20"/>
    </w:rPr>
  </w:style>
  <w:style w:type="character" w:customStyle="1" w:styleId="CommentSubjectChar">
    <w:name w:val="Comment Subject Char"/>
    <w:link w:val="CommentSubject"/>
    <w:uiPriority w:val="99"/>
    <w:semiHidden/>
    <w:rsid w:val="007721ED"/>
    <w:rPr>
      <w:b/>
      <w:bCs/>
      <w:sz w:val="20"/>
      <w:szCs w:val="20"/>
    </w:rPr>
  </w:style>
  <w:style w:type="character" w:customStyle="1" w:styleId="CaptionChar">
    <w:name w:val="Caption Char"/>
    <w:link w:val="Caption"/>
    <w:rsid w:val="007721ED"/>
    <w:rPr>
      <w:rFonts w:ascii="Times New Roman" w:eastAsia="Times New Roman" w:hAnsi="Times New Roman" w:cs="Times New Roman"/>
      <w:bCs/>
      <w:sz w:val="24"/>
      <w:szCs w:val="18"/>
      <w:lang w:eastAsia="ja-JP"/>
    </w:rPr>
  </w:style>
  <w:style w:type="character" w:customStyle="1" w:styleId="Heading1Char">
    <w:name w:val="Heading 1 Char"/>
    <w:link w:val="Heading1"/>
    <w:uiPriority w:val="9"/>
    <w:rsid w:val="007721ED"/>
    <w:rPr>
      <w:rFonts w:ascii="Calibri Light" w:eastAsia="Times New Roman" w:hAnsi="Calibri Light" w:cs="Times New Roman"/>
      <w:b/>
      <w:bCs/>
      <w:color w:val="2E74B5"/>
      <w:sz w:val="28"/>
      <w:szCs w:val="28"/>
    </w:rPr>
  </w:style>
  <w:style w:type="character" w:customStyle="1" w:styleId="alt-edited">
    <w:name w:val="alt-edited"/>
    <w:basedOn w:val="DefaultParagraphFont"/>
    <w:rsid w:val="007721ED"/>
  </w:style>
  <w:style w:type="character" w:customStyle="1" w:styleId="Heading3Char">
    <w:name w:val="Heading 3 Char"/>
    <w:link w:val="Heading3"/>
    <w:uiPriority w:val="9"/>
    <w:rsid w:val="007721ED"/>
    <w:rPr>
      <w:rFonts w:ascii="Calibri Light" w:eastAsia="Times New Roman" w:hAnsi="Calibri Light" w:cs="Times New Roman"/>
      <w:b/>
      <w:bCs/>
      <w:color w:val="5B9BD5"/>
    </w:rPr>
  </w:style>
  <w:style w:type="character" w:customStyle="1" w:styleId="Heading2Char">
    <w:name w:val="Heading 2 Char"/>
    <w:link w:val="Heading2"/>
    <w:uiPriority w:val="9"/>
    <w:rsid w:val="007721ED"/>
    <w:rPr>
      <w:rFonts w:ascii="Calibri Light" w:eastAsia="Times New Roman" w:hAnsi="Calibri Light" w:cs="Times New Roman"/>
      <w:b/>
      <w:bCs/>
      <w:color w:val="5B9BD5"/>
      <w:sz w:val="26"/>
      <w:szCs w:val="26"/>
    </w:rPr>
  </w:style>
  <w:style w:type="character" w:customStyle="1" w:styleId="A1">
    <w:name w:val="A1"/>
    <w:uiPriority w:val="99"/>
    <w:rsid w:val="007721ED"/>
    <w:rPr>
      <w:color w:val="000000"/>
      <w:sz w:val="22"/>
      <w:szCs w:val="22"/>
    </w:rPr>
  </w:style>
  <w:style w:type="character" w:customStyle="1" w:styleId="A0">
    <w:name w:val="A0"/>
    <w:uiPriority w:val="99"/>
    <w:rsid w:val="007721ED"/>
    <w:rPr>
      <w:b/>
      <w:bCs/>
      <w:color w:val="000000"/>
    </w:rPr>
  </w:style>
  <w:style w:type="character" w:customStyle="1" w:styleId="st">
    <w:name w:val="st"/>
    <w:basedOn w:val="DefaultParagraphFont"/>
    <w:rsid w:val="007721ED"/>
  </w:style>
  <w:style w:type="character" w:customStyle="1" w:styleId="HTMLPreformattedChar">
    <w:name w:val="HTML Preformatted Char"/>
    <w:link w:val="HTMLPreformatted"/>
    <w:uiPriority w:val="99"/>
    <w:rsid w:val="007721ED"/>
    <w:rPr>
      <w:rFonts w:ascii="Courier New" w:eastAsia="Times New Roman" w:hAnsi="Courier New" w:cs="Courier New"/>
      <w:sz w:val="20"/>
      <w:szCs w:val="20"/>
    </w:rPr>
  </w:style>
  <w:style w:type="character" w:customStyle="1" w:styleId="HTMLPreformattedChar1">
    <w:name w:val="HTML Preformatted Char1"/>
    <w:uiPriority w:val="99"/>
    <w:semiHidden/>
    <w:rsid w:val="007721ED"/>
    <w:rPr>
      <w:rFonts w:ascii="Consolas" w:hAnsi="Consolas"/>
      <w:sz w:val="20"/>
      <w:szCs w:val="20"/>
    </w:rPr>
  </w:style>
  <w:style w:type="character" w:customStyle="1" w:styleId="i232a7bq1">
    <w:name w:val="i232a7bq1"/>
    <w:basedOn w:val="DefaultParagraphFont"/>
    <w:rsid w:val="007721ED"/>
  </w:style>
  <w:style w:type="character" w:customStyle="1" w:styleId="A2">
    <w:name w:val="A2"/>
    <w:uiPriority w:val="99"/>
    <w:rsid w:val="007721ED"/>
    <w:rPr>
      <w:color w:val="000000"/>
      <w:sz w:val="12"/>
      <w:szCs w:val="12"/>
    </w:rPr>
  </w:style>
  <w:style w:type="character" w:customStyle="1" w:styleId="ListParagraphChar">
    <w:name w:val="List Paragraph Char"/>
    <w:aliases w:val="Heading 41 Char,Heading 411 Char,Heading 42 Char,spasi 2 taiiii Char"/>
    <w:link w:val="ListParagraph"/>
    <w:uiPriority w:val="34"/>
    <w:locked/>
    <w:rsid w:val="007721ED"/>
    <w:rPr>
      <w:sz w:val="22"/>
      <w:szCs w:val="22"/>
      <w:lang w:val="id-ID"/>
    </w:rPr>
  </w:style>
  <w:style w:type="character" w:customStyle="1" w:styleId="apple-style-span">
    <w:name w:val="apple-style-span"/>
    <w:rsid w:val="007721ED"/>
  </w:style>
  <w:style w:type="character" w:customStyle="1" w:styleId="shorttext">
    <w:name w:val="short_text"/>
    <w:rsid w:val="007721ED"/>
  </w:style>
  <w:style w:type="character" w:customStyle="1" w:styleId="tlid-translation">
    <w:name w:val="tlid-translation"/>
    <w:rsid w:val="007721ED"/>
  </w:style>
  <w:style w:type="character" w:customStyle="1" w:styleId="author-name">
    <w:name w:val="author-name"/>
    <w:rsid w:val="007721ED"/>
  </w:style>
  <w:style w:type="character" w:customStyle="1" w:styleId="BodyTextChar">
    <w:name w:val="Body Text Char"/>
    <w:link w:val="BodyText"/>
    <w:uiPriority w:val="1"/>
    <w:rsid w:val="007721ED"/>
    <w:rPr>
      <w:rFonts w:ascii="Times New Roman" w:eastAsia="Times New Roman" w:hAnsi="Times New Roman"/>
      <w:sz w:val="22"/>
      <w:szCs w:val="22"/>
      <w:lang w:bidi="en-US"/>
    </w:rPr>
  </w:style>
  <w:style w:type="character" w:customStyle="1" w:styleId="JudulArtikelChar">
    <w:name w:val="Judul Artikel Char"/>
    <w:link w:val="JudulArtikel"/>
    <w:rsid w:val="007721ED"/>
    <w:rPr>
      <w:rFonts w:ascii="Times New Roman" w:hAnsi="Times New Roman"/>
      <w:b/>
      <w:sz w:val="28"/>
      <w:lang w:val="en-ID" w:eastAsia="en-ID"/>
    </w:rPr>
  </w:style>
  <w:style w:type="character" w:customStyle="1" w:styleId="NamaPenulisChar">
    <w:name w:val="Nama Penulis Char"/>
    <w:link w:val="NamaPenulis"/>
    <w:rsid w:val="007721ED"/>
    <w:rPr>
      <w:rFonts w:ascii="Times New Roman" w:hAnsi="Times New Roman"/>
      <w:b/>
      <w:sz w:val="24"/>
      <w:lang w:val="en-ID" w:eastAsia="en-ID"/>
    </w:rPr>
  </w:style>
  <w:style w:type="character" w:customStyle="1" w:styleId="AbstrakIndonesiaChar">
    <w:name w:val="Abstrak (Indonesia) Char"/>
    <w:link w:val="AbstrakIndonesia"/>
    <w:rsid w:val="007721ED"/>
    <w:rPr>
      <w:rFonts w:ascii="Times New Roman" w:hAnsi="Times New Roman"/>
      <w:lang w:val="id-ID" w:eastAsia="en-ID"/>
    </w:rPr>
  </w:style>
  <w:style w:type="character" w:customStyle="1" w:styleId="KataKunciChar">
    <w:name w:val="Kata Kunci Char"/>
    <w:link w:val="KataKunci"/>
    <w:rsid w:val="007721ED"/>
  </w:style>
  <w:style w:type="character" w:customStyle="1" w:styleId="ParagrafChar">
    <w:name w:val="Paragraf Char"/>
    <w:link w:val="Paragraf"/>
    <w:rsid w:val="007721ED"/>
    <w:rPr>
      <w:rFonts w:ascii="Times New Roman" w:eastAsia="Times New Roman" w:hAnsi="Times New Roman"/>
      <w:b/>
      <w:bCs/>
      <w:color w:val="2E74B5"/>
      <w:sz w:val="24"/>
      <w:szCs w:val="32"/>
      <w:lang w:val="en-ID" w:eastAsia="en-ID"/>
    </w:rPr>
  </w:style>
  <w:style w:type="character" w:customStyle="1" w:styleId="apple-converted-space">
    <w:name w:val="apple-converted-space"/>
    <w:basedOn w:val="DefaultParagraphFont"/>
    <w:rsid w:val="007721ED"/>
  </w:style>
  <w:style w:type="character" w:styleId="Hyperlink">
    <w:name w:val="Hyperlink"/>
    <w:uiPriority w:val="99"/>
    <w:unhideWhenUsed/>
    <w:qFormat/>
    <w:rsid w:val="007721ED"/>
    <w:rPr>
      <w:color w:val="0563C1"/>
      <w:u w:val="single"/>
    </w:rPr>
  </w:style>
  <w:style w:type="character" w:styleId="FootnoteReference">
    <w:name w:val="footnote reference"/>
    <w:uiPriority w:val="99"/>
    <w:unhideWhenUsed/>
    <w:rsid w:val="007721ED"/>
    <w:rPr>
      <w:vertAlign w:val="superscript"/>
    </w:rPr>
  </w:style>
  <w:style w:type="character" w:styleId="CommentReference">
    <w:name w:val="annotation reference"/>
    <w:uiPriority w:val="99"/>
    <w:unhideWhenUsed/>
    <w:rsid w:val="007721ED"/>
    <w:rPr>
      <w:sz w:val="16"/>
      <w:szCs w:val="16"/>
    </w:rPr>
  </w:style>
  <w:style w:type="paragraph" w:customStyle="1" w:styleId="IJOPCMTitle">
    <w:name w:val="IJOPCM Title"/>
    <w:basedOn w:val="Heading1"/>
    <w:rsid w:val="007721ED"/>
    <w:pPr>
      <w:keepLines w:val="0"/>
      <w:spacing w:before="0" w:after="240" w:line="520" w:lineRule="exact"/>
      <w:jc w:val="center"/>
    </w:pPr>
    <w:rPr>
      <w:rFonts w:ascii="Times New Roman" w:eastAsia="Batang" w:hAnsi="Times New Roman" w:cs="Arial"/>
      <w:color w:val="auto"/>
      <w:kern w:val="32"/>
      <w:sz w:val="40"/>
      <w:szCs w:val="32"/>
      <w:lang w:eastAsia="ko-KR"/>
    </w:rPr>
  </w:style>
  <w:style w:type="paragraph" w:styleId="ListParagraph">
    <w:name w:val="List Paragraph"/>
    <w:aliases w:val="Heading 41,Heading 411,Heading 42,spasi 2 taiiii"/>
    <w:basedOn w:val="Normal"/>
    <w:link w:val="ListParagraphChar"/>
    <w:uiPriority w:val="34"/>
    <w:qFormat/>
    <w:rsid w:val="007721ED"/>
    <w:pPr>
      <w:spacing w:after="200" w:line="276" w:lineRule="auto"/>
      <w:ind w:left="720"/>
      <w:contextualSpacing/>
    </w:pPr>
    <w:rPr>
      <w:lang w:val="id-ID"/>
    </w:rPr>
  </w:style>
  <w:style w:type="paragraph" w:customStyle="1" w:styleId="ResumeText">
    <w:name w:val="Resume Text"/>
    <w:basedOn w:val="Normal"/>
    <w:qFormat/>
    <w:rsid w:val="007721ED"/>
    <w:pPr>
      <w:spacing w:before="40" w:after="40" w:line="288" w:lineRule="auto"/>
      <w:ind w:right="1440"/>
    </w:pPr>
    <w:rPr>
      <w:rFonts w:ascii="Calibri" w:eastAsia="Calibri" w:hAnsi="Calibri"/>
      <w:color w:val="595959"/>
      <w:kern w:val="20"/>
      <w:sz w:val="20"/>
      <w:szCs w:val="20"/>
      <w:lang w:eastAsia="ja-JP"/>
    </w:rPr>
  </w:style>
  <w:style w:type="paragraph" w:styleId="NoSpacing">
    <w:name w:val="No Spacing"/>
    <w:uiPriority w:val="1"/>
    <w:qFormat/>
    <w:rsid w:val="007721ED"/>
    <w:rPr>
      <w:lang w:val="id-ID"/>
    </w:rPr>
  </w:style>
  <w:style w:type="paragraph" w:styleId="Bibliography">
    <w:name w:val="Bibliography"/>
    <w:basedOn w:val="Normal"/>
    <w:next w:val="Normal"/>
    <w:uiPriority w:val="37"/>
    <w:unhideWhenUsed/>
    <w:rsid w:val="007721ED"/>
    <w:rPr>
      <w:lang w:val="id-ID"/>
    </w:rPr>
  </w:style>
  <w:style w:type="paragraph" w:customStyle="1" w:styleId="TableParagraph">
    <w:name w:val="Table Paragraph"/>
    <w:basedOn w:val="Normal"/>
    <w:uiPriority w:val="1"/>
    <w:qFormat/>
    <w:rsid w:val="007721ED"/>
    <w:pPr>
      <w:widowControl w:val="0"/>
      <w:autoSpaceDE w:val="0"/>
      <w:autoSpaceDN w:val="0"/>
      <w:spacing w:after="0" w:line="233" w:lineRule="exact"/>
      <w:jc w:val="right"/>
    </w:pPr>
    <w:rPr>
      <w:lang w:bidi="en-US"/>
    </w:rPr>
  </w:style>
  <w:style w:type="paragraph" w:customStyle="1" w:styleId="JudulArtikel">
    <w:name w:val="Judul Artikel"/>
    <w:basedOn w:val="Normal"/>
    <w:link w:val="JudulArtikelChar"/>
    <w:qFormat/>
    <w:rsid w:val="007721ED"/>
    <w:pPr>
      <w:spacing w:line="240" w:lineRule="auto"/>
      <w:jc w:val="center"/>
    </w:pPr>
    <w:rPr>
      <w:b/>
      <w:sz w:val="28"/>
      <w:szCs w:val="20"/>
      <w:lang w:val="en-ID" w:eastAsia="en-ID"/>
    </w:rPr>
  </w:style>
  <w:style w:type="paragraph" w:customStyle="1" w:styleId="NamaPenulis">
    <w:name w:val="Nama Penulis"/>
    <w:basedOn w:val="JudulArtikel"/>
    <w:link w:val="NamaPenulisChar"/>
    <w:qFormat/>
    <w:rsid w:val="007721ED"/>
    <w:pPr>
      <w:spacing w:after="0"/>
    </w:pPr>
    <w:rPr>
      <w:sz w:val="24"/>
    </w:rPr>
  </w:style>
  <w:style w:type="paragraph" w:customStyle="1" w:styleId="AbstrakIndonesia">
    <w:name w:val="Abstrak (Indonesia)"/>
    <w:basedOn w:val="Normal"/>
    <w:link w:val="AbstrakIndonesiaChar"/>
    <w:qFormat/>
    <w:rsid w:val="007721ED"/>
    <w:pPr>
      <w:spacing w:line="240" w:lineRule="auto"/>
      <w:ind w:left="1134" w:right="1134"/>
      <w:jc w:val="both"/>
    </w:pPr>
    <w:rPr>
      <w:sz w:val="20"/>
      <w:szCs w:val="20"/>
      <w:lang w:val="id-ID" w:eastAsia="en-ID"/>
    </w:rPr>
  </w:style>
  <w:style w:type="paragraph" w:customStyle="1" w:styleId="KataKunci">
    <w:name w:val="Kata Kunci"/>
    <w:basedOn w:val="AbstrakIndonesia"/>
    <w:link w:val="KataKunciChar"/>
    <w:qFormat/>
    <w:rsid w:val="007721ED"/>
    <w:pPr>
      <w:spacing w:before="120" w:after="240" w:line="480" w:lineRule="auto"/>
    </w:pPr>
  </w:style>
  <w:style w:type="paragraph" w:customStyle="1" w:styleId="Paragraf">
    <w:name w:val="Paragraf"/>
    <w:basedOn w:val="Heading1"/>
    <w:link w:val="ParagrafChar"/>
    <w:qFormat/>
    <w:rsid w:val="007721ED"/>
    <w:pPr>
      <w:keepNext w:val="0"/>
      <w:keepLines w:val="0"/>
      <w:widowControl w:val="0"/>
      <w:spacing w:before="120" w:after="120" w:line="480" w:lineRule="auto"/>
      <w:ind w:firstLine="567"/>
      <w:jc w:val="both"/>
    </w:pPr>
    <w:rPr>
      <w:rFonts w:ascii="Times New Roman" w:hAnsi="Times New Roman"/>
      <w:sz w:val="24"/>
      <w:szCs w:val="32"/>
      <w:lang w:val="en-ID" w:eastAsia="en-ID"/>
    </w:rPr>
  </w:style>
  <w:style w:type="paragraph" w:customStyle="1" w:styleId="Default">
    <w:name w:val="Default"/>
    <w:rsid w:val="007721ED"/>
    <w:pPr>
      <w:autoSpaceDE w:val="0"/>
      <w:autoSpaceDN w:val="0"/>
      <w:adjustRightInd w:val="0"/>
    </w:pPr>
    <w:rPr>
      <w:rFonts w:ascii="Bookman Old Style" w:hAnsi="Bookman Old Style" w:cs="Bookman Old Style"/>
      <w:color w:val="000000"/>
      <w:sz w:val="24"/>
      <w:szCs w:val="24"/>
    </w:rPr>
  </w:style>
  <w:style w:type="paragraph" w:customStyle="1" w:styleId="ListParagraph1">
    <w:name w:val="List Paragraph1"/>
    <w:basedOn w:val="Normal"/>
    <w:uiPriority w:val="34"/>
    <w:qFormat/>
    <w:rsid w:val="007721ED"/>
    <w:pPr>
      <w:spacing w:after="200" w:line="276" w:lineRule="auto"/>
      <w:ind w:left="720"/>
      <w:contextualSpacing/>
    </w:pPr>
    <w:rPr>
      <w:lang w:val="id-ID"/>
    </w:rPr>
  </w:style>
  <w:style w:type="paragraph" w:styleId="NormalWeb">
    <w:name w:val="Normal (Web)"/>
    <w:basedOn w:val="Normal"/>
    <w:uiPriority w:val="99"/>
    <w:unhideWhenUsed/>
    <w:rsid w:val="007721ED"/>
    <w:pPr>
      <w:spacing w:before="100" w:beforeAutospacing="1" w:after="100" w:afterAutospacing="1" w:line="240" w:lineRule="auto"/>
    </w:pPr>
    <w:rPr>
      <w:sz w:val="24"/>
      <w:szCs w:val="24"/>
    </w:rPr>
  </w:style>
  <w:style w:type="paragraph" w:styleId="List">
    <w:name w:val="List"/>
    <w:basedOn w:val="Normal"/>
    <w:uiPriority w:val="99"/>
    <w:unhideWhenUsed/>
    <w:rsid w:val="007721ED"/>
    <w:pPr>
      <w:spacing w:before="100" w:beforeAutospacing="1" w:after="100" w:afterAutospacing="1" w:line="240" w:lineRule="auto"/>
    </w:pPr>
    <w:rPr>
      <w:sz w:val="24"/>
      <w:szCs w:val="24"/>
      <w:lang w:val="id-ID" w:eastAsia="id-ID"/>
    </w:rPr>
  </w:style>
  <w:style w:type="paragraph" w:styleId="HTMLPreformatted">
    <w:name w:val="HTML Preformatted"/>
    <w:basedOn w:val="Normal"/>
    <w:link w:val="HTMLPreformattedChar"/>
    <w:uiPriority w:val="99"/>
    <w:unhideWhenUsed/>
    <w:rsid w:val="00772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styleId="Header">
    <w:name w:val="header"/>
    <w:basedOn w:val="Normal"/>
    <w:link w:val="HeaderChar"/>
    <w:uiPriority w:val="99"/>
    <w:unhideWhenUsed/>
    <w:rsid w:val="007721ED"/>
    <w:pPr>
      <w:tabs>
        <w:tab w:val="center" w:pos="4680"/>
        <w:tab w:val="right" w:pos="9360"/>
      </w:tabs>
      <w:spacing w:after="0" w:line="240" w:lineRule="auto"/>
    </w:pPr>
  </w:style>
  <w:style w:type="paragraph" w:styleId="FootnoteText">
    <w:name w:val="footnote text"/>
    <w:basedOn w:val="Normal"/>
    <w:link w:val="FootnoteTextChar"/>
    <w:uiPriority w:val="99"/>
    <w:unhideWhenUsed/>
    <w:rsid w:val="007721ED"/>
    <w:pPr>
      <w:spacing w:after="0" w:line="240" w:lineRule="auto"/>
    </w:pPr>
    <w:rPr>
      <w:sz w:val="20"/>
      <w:szCs w:val="20"/>
    </w:rPr>
  </w:style>
  <w:style w:type="paragraph" w:styleId="Footer">
    <w:name w:val="footer"/>
    <w:basedOn w:val="Normal"/>
    <w:link w:val="FooterChar"/>
    <w:uiPriority w:val="99"/>
    <w:unhideWhenUsed/>
    <w:rsid w:val="007721ED"/>
    <w:pPr>
      <w:tabs>
        <w:tab w:val="center" w:pos="4680"/>
        <w:tab w:val="right" w:pos="9360"/>
      </w:tabs>
      <w:spacing w:after="0" w:line="240" w:lineRule="auto"/>
    </w:pPr>
  </w:style>
  <w:style w:type="paragraph" w:styleId="BalloonText">
    <w:name w:val="Balloon Text"/>
    <w:basedOn w:val="Normal"/>
    <w:link w:val="BalloonTextChar"/>
    <w:uiPriority w:val="99"/>
    <w:unhideWhenUsed/>
    <w:rsid w:val="007721ED"/>
    <w:pPr>
      <w:spacing w:after="0" w:line="240" w:lineRule="auto"/>
    </w:pPr>
    <w:rPr>
      <w:rFonts w:ascii="Tahoma" w:hAnsi="Tahoma"/>
      <w:sz w:val="16"/>
      <w:szCs w:val="16"/>
    </w:rPr>
  </w:style>
  <w:style w:type="paragraph" w:styleId="BodyText">
    <w:name w:val="Body Text"/>
    <w:basedOn w:val="Normal"/>
    <w:link w:val="BodyTextChar"/>
    <w:uiPriority w:val="1"/>
    <w:qFormat/>
    <w:rsid w:val="007721ED"/>
    <w:pPr>
      <w:widowControl w:val="0"/>
      <w:autoSpaceDE w:val="0"/>
      <w:autoSpaceDN w:val="0"/>
      <w:spacing w:after="0" w:line="240" w:lineRule="auto"/>
    </w:pPr>
    <w:rPr>
      <w:lang w:bidi="en-US"/>
    </w:rPr>
  </w:style>
  <w:style w:type="paragraph" w:styleId="Caption">
    <w:name w:val="caption"/>
    <w:basedOn w:val="Normal"/>
    <w:next w:val="Normal"/>
    <w:link w:val="CaptionChar"/>
    <w:qFormat/>
    <w:rsid w:val="007721ED"/>
    <w:pPr>
      <w:spacing w:before="60" w:after="200" w:line="240" w:lineRule="auto"/>
      <w:ind w:left="567" w:hanging="567"/>
    </w:pPr>
    <w:rPr>
      <w:bCs/>
      <w:sz w:val="24"/>
      <w:szCs w:val="18"/>
      <w:lang w:eastAsia="ja-JP"/>
    </w:rPr>
  </w:style>
  <w:style w:type="paragraph" w:styleId="CommentText">
    <w:name w:val="annotation text"/>
    <w:basedOn w:val="Normal"/>
    <w:link w:val="CommentTextChar"/>
    <w:uiPriority w:val="99"/>
    <w:unhideWhenUsed/>
    <w:rsid w:val="007721ED"/>
    <w:pPr>
      <w:spacing w:line="240" w:lineRule="auto"/>
    </w:pPr>
    <w:rPr>
      <w:sz w:val="20"/>
      <w:szCs w:val="20"/>
    </w:rPr>
  </w:style>
  <w:style w:type="paragraph" w:styleId="CommentSubject">
    <w:name w:val="annotation subject"/>
    <w:basedOn w:val="CommentText"/>
    <w:next w:val="CommentText"/>
    <w:link w:val="CommentSubjectChar"/>
    <w:uiPriority w:val="99"/>
    <w:unhideWhenUsed/>
    <w:rsid w:val="007721ED"/>
    <w:rPr>
      <w:b/>
      <w:bCs/>
    </w:rPr>
  </w:style>
  <w:style w:type="table" w:styleId="TableGrid">
    <w:name w:val="Table Grid"/>
    <w:basedOn w:val="TableNormal"/>
    <w:uiPriority w:val="59"/>
    <w:rsid w:val="007721ED"/>
    <w:rPr>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uiPriority w:val="99"/>
    <w:semiHidden/>
    <w:unhideWhenUsed/>
    <w:rsid w:val="00F921C1"/>
    <w:rPr>
      <w:color w:val="605E5C"/>
      <w:shd w:val="clear" w:color="auto" w:fill="E1DFDD"/>
    </w:rPr>
  </w:style>
  <w:style w:type="character" w:styleId="FollowedHyperlink">
    <w:name w:val="FollowedHyperlink"/>
    <w:uiPriority w:val="99"/>
    <w:semiHidden/>
    <w:unhideWhenUsed/>
    <w:rsid w:val="00F921C1"/>
    <w:rPr>
      <w:color w:val="954F72"/>
      <w:u w:val="single"/>
    </w:rPr>
  </w:style>
  <w:style w:type="character" w:customStyle="1" w:styleId="Heading4Char">
    <w:name w:val="Heading 4 Char"/>
    <w:basedOn w:val="DefaultParagraphFont"/>
    <w:link w:val="Heading4"/>
    <w:uiPriority w:val="9"/>
    <w:semiHidden/>
    <w:rsid w:val="00345D67"/>
    <w:rPr>
      <w:rFonts w:ascii="Cambria" w:eastAsia="Times New Roman" w:hAnsi="Cambria"/>
      <w:i/>
      <w:iCs/>
      <w:color w:val="31849B"/>
      <w:sz w:val="25"/>
      <w:szCs w:val="25"/>
      <w:lang w:val="en-US" w:eastAsia="en-US"/>
    </w:rPr>
  </w:style>
  <w:style w:type="character" w:customStyle="1" w:styleId="Heading5Char">
    <w:name w:val="Heading 5 Char"/>
    <w:basedOn w:val="DefaultParagraphFont"/>
    <w:link w:val="Heading5"/>
    <w:uiPriority w:val="9"/>
    <w:semiHidden/>
    <w:rsid w:val="00345D67"/>
    <w:rPr>
      <w:rFonts w:ascii="Cambria" w:eastAsia="Times New Roman" w:hAnsi="Cambria"/>
      <w:i/>
      <w:iCs/>
      <w:color w:val="632423"/>
      <w:sz w:val="24"/>
      <w:szCs w:val="24"/>
      <w:lang w:val="en-US" w:eastAsia="en-US"/>
    </w:rPr>
  </w:style>
  <w:style w:type="character" w:customStyle="1" w:styleId="Heading6Char">
    <w:name w:val="Heading 6 Char"/>
    <w:basedOn w:val="DefaultParagraphFont"/>
    <w:link w:val="Heading6"/>
    <w:uiPriority w:val="9"/>
    <w:semiHidden/>
    <w:rsid w:val="00345D67"/>
    <w:rPr>
      <w:rFonts w:ascii="Cambria" w:eastAsia="Times New Roman" w:hAnsi="Cambria"/>
      <w:i/>
      <w:iCs/>
      <w:color w:val="984806"/>
      <w:sz w:val="23"/>
      <w:szCs w:val="23"/>
      <w:lang w:val="en-US" w:eastAsia="en-US"/>
    </w:rPr>
  </w:style>
  <w:style w:type="character" w:customStyle="1" w:styleId="Heading7Char">
    <w:name w:val="Heading 7 Char"/>
    <w:basedOn w:val="DefaultParagraphFont"/>
    <w:link w:val="Heading7"/>
    <w:uiPriority w:val="9"/>
    <w:semiHidden/>
    <w:rsid w:val="00345D67"/>
    <w:rPr>
      <w:rFonts w:ascii="Cambria" w:eastAsia="Times New Roman" w:hAnsi="Cambria"/>
      <w:color w:val="244061"/>
      <w:sz w:val="22"/>
      <w:szCs w:val="22"/>
      <w:lang w:val="en-US" w:eastAsia="en-US"/>
    </w:rPr>
  </w:style>
  <w:style w:type="character" w:customStyle="1" w:styleId="Heading8Char">
    <w:name w:val="Heading 8 Char"/>
    <w:basedOn w:val="DefaultParagraphFont"/>
    <w:link w:val="Heading8"/>
    <w:uiPriority w:val="9"/>
    <w:semiHidden/>
    <w:rsid w:val="00345D67"/>
    <w:rPr>
      <w:rFonts w:ascii="Cambria" w:eastAsia="Times New Roman" w:hAnsi="Cambria"/>
      <w:color w:val="632423"/>
      <w:sz w:val="21"/>
      <w:szCs w:val="21"/>
      <w:lang w:val="en-US" w:eastAsia="en-US"/>
    </w:rPr>
  </w:style>
  <w:style w:type="character" w:customStyle="1" w:styleId="Heading9Char">
    <w:name w:val="Heading 9 Char"/>
    <w:basedOn w:val="DefaultParagraphFont"/>
    <w:link w:val="Heading9"/>
    <w:uiPriority w:val="9"/>
    <w:semiHidden/>
    <w:rsid w:val="00345D67"/>
    <w:rPr>
      <w:rFonts w:ascii="Cambria" w:eastAsia="Times New Roman" w:hAnsi="Cambria"/>
      <w:color w:val="984806"/>
      <w:sz w:val="22"/>
      <w:szCs w:val="22"/>
      <w:lang w:val="en-US" w:eastAsia="en-US"/>
    </w:rPr>
  </w:style>
  <w:style w:type="character" w:customStyle="1" w:styleId="TitleChar">
    <w:name w:val="Title Char"/>
    <w:basedOn w:val="DefaultParagraphFont"/>
    <w:link w:val="Title"/>
    <w:uiPriority w:val="10"/>
    <w:rsid w:val="00345D67"/>
    <w:rPr>
      <w:rFonts w:ascii="Cambria" w:eastAsia="Times New Roman" w:hAnsi="Cambria"/>
      <w:color w:val="365F91"/>
      <w:spacing w:val="-10"/>
      <w:sz w:val="52"/>
      <w:szCs w:val="52"/>
      <w:lang w:val="en-US" w:eastAsia="en-US"/>
    </w:rPr>
  </w:style>
  <w:style w:type="character" w:customStyle="1" w:styleId="SubtitleChar">
    <w:name w:val="Subtitle Char"/>
    <w:basedOn w:val="DefaultParagraphFont"/>
    <w:link w:val="Subtitle"/>
    <w:uiPriority w:val="11"/>
    <w:rsid w:val="00345D67"/>
    <w:rPr>
      <w:rFonts w:ascii="Cambria" w:eastAsia="Times New Roman" w:hAnsi="Cambria"/>
      <w:sz w:val="22"/>
      <w:szCs w:val="22"/>
      <w:lang w:val="en-US" w:eastAsia="en-US"/>
    </w:rPr>
  </w:style>
  <w:style w:type="character" w:styleId="Strong">
    <w:name w:val="Strong"/>
    <w:uiPriority w:val="22"/>
    <w:qFormat/>
    <w:rsid w:val="00345D67"/>
    <w:rPr>
      <w:b/>
      <w:bCs/>
    </w:rPr>
  </w:style>
  <w:style w:type="character" w:styleId="Emphasis">
    <w:name w:val="Emphasis"/>
    <w:uiPriority w:val="20"/>
    <w:qFormat/>
    <w:rsid w:val="00345D67"/>
    <w:rPr>
      <w:i/>
      <w:iCs/>
    </w:rPr>
  </w:style>
  <w:style w:type="paragraph" w:styleId="Quote">
    <w:name w:val="Quote"/>
    <w:basedOn w:val="Normal"/>
    <w:next w:val="Normal"/>
    <w:link w:val="QuoteChar"/>
    <w:uiPriority w:val="29"/>
    <w:qFormat/>
    <w:rsid w:val="00345D67"/>
    <w:pPr>
      <w:spacing w:before="120"/>
      <w:ind w:left="720" w:right="720"/>
      <w:jc w:val="center"/>
    </w:pPr>
    <w:rPr>
      <w:rFonts w:ascii="Calibri" w:hAnsi="Calibri"/>
      <w:i/>
      <w:iCs/>
    </w:rPr>
  </w:style>
  <w:style w:type="character" w:customStyle="1" w:styleId="QuoteChar">
    <w:name w:val="Quote Char"/>
    <w:basedOn w:val="DefaultParagraphFont"/>
    <w:link w:val="Quote"/>
    <w:uiPriority w:val="29"/>
    <w:rsid w:val="00345D67"/>
    <w:rPr>
      <w:rFonts w:ascii="Calibri" w:eastAsia="Times New Roman" w:hAnsi="Calibri"/>
      <w:i/>
      <w:iCs/>
      <w:sz w:val="22"/>
      <w:szCs w:val="22"/>
      <w:lang w:val="en-US" w:eastAsia="en-US"/>
    </w:rPr>
  </w:style>
  <w:style w:type="paragraph" w:styleId="IntenseQuote">
    <w:name w:val="Intense Quote"/>
    <w:basedOn w:val="Normal"/>
    <w:next w:val="Normal"/>
    <w:link w:val="IntenseQuoteChar"/>
    <w:uiPriority w:val="30"/>
    <w:qFormat/>
    <w:rsid w:val="00345D67"/>
    <w:pPr>
      <w:spacing w:before="120" w:line="300" w:lineRule="auto"/>
      <w:ind w:left="576" w:right="576"/>
      <w:jc w:val="center"/>
    </w:pPr>
    <w:rPr>
      <w:rFonts w:ascii="Cambria" w:hAnsi="Cambria"/>
      <w:color w:val="4F81BD"/>
      <w:sz w:val="24"/>
      <w:szCs w:val="24"/>
    </w:rPr>
  </w:style>
  <w:style w:type="character" w:customStyle="1" w:styleId="IntenseQuoteChar">
    <w:name w:val="Intense Quote Char"/>
    <w:basedOn w:val="DefaultParagraphFont"/>
    <w:link w:val="IntenseQuote"/>
    <w:uiPriority w:val="30"/>
    <w:rsid w:val="00345D67"/>
    <w:rPr>
      <w:rFonts w:ascii="Cambria" w:eastAsia="Times New Roman" w:hAnsi="Cambria"/>
      <w:color w:val="4F81BD"/>
      <w:sz w:val="24"/>
      <w:szCs w:val="24"/>
      <w:lang w:val="en-US" w:eastAsia="en-US"/>
    </w:rPr>
  </w:style>
  <w:style w:type="character" w:styleId="SubtleEmphasis">
    <w:name w:val="Subtle Emphasis"/>
    <w:uiPriority w:val="19"/>
    <w:qFormat/>
    <w:rsid w:val="00345D67"/>
    <w:rPr>
      <w:i/>
      <w:iCs/>
      <w:color w:val="404040"/>
    </w:rPr>
  </w:style>
  <w:style w:type="character" w:styleId="IntenseEmphasis">
    <w:name w:val="Intense Emphasis"/>
    <w:uiPriority w:val="21"/>
    <w:qFormat/>
    <w:rsid w:val="00345D67"/>
    <w:rPr>
      <w:b w:val="0"/>
      <w:bCs w:val="0"/>
      <w:i/>
      <w:iCs/>
      <w:color w:val="4F81BD"/>
    </w:rPr>
  </w:style>
  <w:style w:type="character" w:styleId="SubtleReference">
    <w:name w:val="Subtle Reference"/>
    <w:uiPriority w:val="31"/>
    <w:qFormat/>
    <w:rsid w:val="00345D67"/>
    <w:rPr>
      <w:smallCaps/>
      <w:color w:val="404040"/>
      <w:u w:val="single" w:color="7F7F7F"/>
    </w:rPr>
  </w:style>
  <w:style w:type="character" w:styleId="IntenseReference">
    <w:name w:val="Intense Reference"/>
    <w:uiPriority w:val="32"/>
    <w:qFormat/>
    <w:rsid w:val="00345D67"/>
    <w:rPr>
      <w:b/>
      <w:bCs/>
      <w:smallCaps/>
      <w:color w:val="4F81BD"/>
      <w:spacing w:val="5"/>
      <w:u w:val="single"/>
    </w:rPr>
  </w:style>
  <w:style w:type="character" w:styleId="BookTitle">
    <w:name w:val="Book Title"/>
    <w:uiPriority w:val="33"/>
    <w:qFormat/>
    <w:rsid w:val="00345D67"/>
    <w:rPr>
      <w:b/>
      <w:bCs/>
      <w:smallCaps/>
    </w:rPr>
  </w:style>
  <w:style w:type="paragraph" w:styleId="TOCHeading">
    <w:name w:val="TOC Heading"/>
    <w:basedOn w:val="Heading1"/>
    <w:next w:val="Normal"/>
    <w:uiPriority w:val="39"/>
    <w:semiHidden/>
    <w:unhideWhenUsed/>
    <w:qFormat/>
    <w:rsid w:val="00345D67"/>
    <w:pPr>
      <w:spacing w:before="320" w:line="240" w:lineRule="auto"/>
      <w:outlineLvl w:val="9"/>
    </w:pPr>
    <w:rPr>
      <w:rFonts w:ascii="Cambria" w:hAnsi="Cambria"/>
      <w:b w:val="0"/>
      <w:color w:val="365F91"/>
      <w:sz w:val="30"/>
      <w:szCs w:val="30"/>
    </w:rPr>
  </w:style>
  <w:style w:type="character" w:customStyle="1" w:styleId="fontstyle01">
    <w:name w:val="fontstyle01"/>
    <w:rsid w:val="005E52BA"/>
    <w:rPr>
      <w:rFonts w:ascii="TimesNewRomanPSMT" w:hAnsi="TimesNewRomanPSMT" w:hint="default"/>
      <w:b w:val="0"/>
      <w:bCs w:val="0"/>
      <w:i w:val="0"/>
      <w:iCs w:val="0"/>
      <w:color w:val="242021"/>
      <w:sz w:val="28"/>
      <w:szCs w:val="28"/>
    </w:rPr>
  </w:style>
  <w:style w:type="character" w:customStyle="1" w:styleId="ls5">
    <w:name w:val="ls5"/>
    <w:rsid w:val="009644B9"/>
    <w:rPr>
      <w:rFonts w:cs="Times New Roman"/>
      <w:rtl w:val="0"/>
      <w:cs w:val="0"/>
    </w:rPr>
  </w:style>
  <w:style w:type="character" w:styleId="PlaceholderText">
    <w:name w:val="Placeholder Text"/>
    <w:basedOn w:val="DefaultParagraphFont"/>
    <w:uiPriority w:val="99"/>
    <w:unhideWhenUsed/>
    <w:rsid w:val="00DC6F8D"/>
    <w:rPr>
      <w:color w:val="808080"/>
    </w:rPr>
  </w:style>
  <w:style w:type="character" w:customStyle="1" w:styleId="y2iqfc">
    <w:name w:val="y2iqfc"/>
    <w:basedOn w:val="DefaultParagraphFont"/>
    <w:rsid w:val="00962B8C"/>
  </w:style>
  <w:style w:type="paragraph" w:styleId="Subtitle">
    <w:name w:val="Subtitle"/>
    <w:basedOn w:val="Normal"/>
    <w:next w:val="Normal"/>
    <w:link w:val="SubtitleChar"/>
    <w:uiPriority w:val="11"/>
    <w:qFormat/>
    <w:pPr>
      <w:spacing w:line="240" w:lineRule="auto"/>
    </w:pPr>
    <w:rPr>
      <w:rFonts w:ascii="Cambria" w:eastAsia="Cambria" w:hAnsi="Cambria" w:cs="Cambria"/>
    </w:rPr>
  </w:style>
  <w:style w:type="table" w:customStyle="1" w:styleId="a">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customStyle="1" w:styleId="UnresolvedMention2">
    <w:name w:val="Unresolved Mention2"/>
    <w:basedOn w:val="DefaultParagraphFont"/>
    <w:uiPriority w:val="99"/>
    <w:semiHidden/>
    <w:unhideWhenUsed/>
    <w:rsid w:val="009D11C8"/>
    <w:rPr>
      <w:color w:val="605E5C"/>
      <w:shd w:val="clear" w:color="auto" w:fill="E1DFDD"/>
    </w:rPr>
  </w:style>
  <w:style w:type="character" w:styleId="UnresolvedMention">
    <w:name w:val="Unresolved Mention"/>
    <w:basedOn w:val="DefaultParagraphFont"/>
    <w:uiPriority w:val="99"/>
    <w:semiHidden/>
    <w:unhideWhenUsed/>
    <w:rsid w:val="00022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yperlink" Target="mailto:abdul.halim@feb.upr.ac.id" TargetMode="External"/><Relationship Id="rId14" Type="http://schemas.openxmlformats.org/officeDocument/2006/relationships/header" Target="head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u6mpIyX1+PjBeeRUL1lcjT1COw==">CgMxLjA4AHIhMS1lajZub01GcHFnLUJnSl9OV2o0Ylc4cVhsSkh0Rzc4</go:docsCustomData>
</go:gDocsCustomXmlDataStorage>
</file>

<file path=customXml/itemProps1.xml><?xml version="1.0" encoding="utf-8"?>
<ds:datastoreItem xmlns:ds="http://schemas.openxmlformats.org/officeDocument/2006/customXml" ds:itemID="{728E8239-3C44-453E-8AAC-B48E81B666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13134</Words>
  <Characters>74864</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3</cp:revision>
  <dcterms:created xsi:type="dcterms:W3CDTF">2026-04-22T08:01:00Z</dcterms:created>
  <dcterms:modified xsi:type="dcterms:W3CDTF">2026-05-05T07:07:00Z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0ae33901-04db-38a3-b845-d789f691495c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1033-11.2.0.8342</vt:lpwstr>
  </property>
  <property fmtid="{D5CDD505-2E9C-101B-9397-08002B2CF9AE}" pid="26" name="GrammarlyDocumentId">
    <vt:lpwstr>397ea701-5032-460a-bfd0-d79389701c09</vt:lpwstr>
  </property>
</Properties>
</file>